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6E8" w:rsidP="00F35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FBPGRA3025 Receive and handle grain in a storage area</w:t>
      </w:r>
      <w:r>
        <w:fldChar w:fldCharType="end"/>
      </w:r>
    </w:p>
    <w:p w:rsidR="00F356E8" w:rsidP="00F356E8">
      <w:pPr>
        <w:pStyle w:val="Version"/>
        <w:sectPr w:rsidSect="007B5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7E3" w:rsidP="007B57E3">
      <w:pPr>
        <w:pStyle w:val="SuperHeading"/>
      </w:pPr>
      <w:r w:rsidRPr="007B57E3">
        <w:t>FBPGRA3025 Receive and handle grain in a storage area</w:t>
      </w:r>
    </w:p>
    <w:p w:rsidR="00000000" w:rsidRPr="007B57E3" w:rsidP="007B57E3">
      <w:pPr>
        <w:pStyle w:val="Heading1"/>
      </w:pPr>
      <w:bookmarkStart w:id="1" w:name="O_1186898"/>
      <w:bookmarkEnd w:id="1"/>
      <w:r w:rsidRPr="007B57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Comments</w:t>
            </w:r>
          </w:p>
        </w:tc>
      </w:tr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This version released with FBP Food, Beverage and Pharmaceutical Training Package Version 6.0.</w:t>
            </w:r>
          </w:p>
        </w:tc>
      </w:tr>
    </w:tbl>
    <w:p w:rsidR="00000000" w:rsidRPr="007B57E3" w:rsidP="007B57E3">
      <w:pPr>
        <w:pStyle w:val="BodyText"/>
      </w:pPr>
    </w:p>
    <w:p w:rsidR="00000000" w:rsidRPr="007B57E3" w:rsidP="007B57E3">
      <w:pPr>
        <w:pStyle w:val="AllowPageBreak"/>
      </w:pPr>
    </w:p>
    <w:p w:rsidR="00000000" w:rsidRPr="007B57E3" w:rsidP="007B57E3">
      <w:pPr>
        <w:pStyle w:val="Heading1"/>
      </w:pPr>
      <w:bookmarkStart w:id="2" w:name="O_1186899"/>
      <w:bookmarkEnd w:id="2"/>
      <w:r w:rsidRPr="007B57E3">
        <w:t>Application</w:t>
      </w:r>
    </w:p>
    <w:p w:rsidR="00000000" w:rsidRPr="007B57E3" w:rsidP="00F356E8">
      <w:pPr>
        <w:pStyle w:val="BodyText"/>
      </w:pPr>
      <w:r w:rsidRPr="007B57E3">
        <w:t>This unit of competency describes the skills and knowledge re</w:t>
      </w:r>
      <w:r w:rsidRPr="007B57E3">
        <w:t>quired to receive grain and handle grain in a storage area, taking samples, testing samples, segregating and moving grain in a manner that minimises dust and exposure to pests.</w:t>
      </w:r>
    </w:p>
    <w:p w:rsidR="00000000" w:rsidRPr="007B57E3" w:rsidP="00F356E8">
      <w:pPr>
        <w:pStyle w:val="BodyText"/>
      </w:pPr>
      <w:r w:rsidRPr="007B57E3">
        <w:t>This unit applies to individuals who work in a grain processing environment for</w:t>
      </w:r>
      <w:r w:rsidRPr="007B57E3">
        <w:t xml:space="preserve"> human or animal consumption. It typically targets the production worker responsible for applying basic operating principles to the receival and storage of grain in permanent or temporary storage facilities.</w:t>
      </w:r>
    </w:p>
    <w:p w:rsidR="00000000" w:rsidRPr="007B57E3" w:rsidP="00F356E8">
      <w:pPr>
        <w:pStyle w:val="BodyText"/>
      </w:pPr>
      <w:r w:rsidRPr="007B57E3">
        <w:t xml:space="preserve">Note: This unit does not cover work in confined </w:t>
      </w:r>
      <w:r w:rsidRPr="007B57E3">
        <w:t>spaces.</w:t>
      </w:r>
    </w:p>
    <w:p w:rsidR="00000000" w:rsidRPr="007B57E3" w:rsidP="00F356E8">
      <w:pPr>
        <w:pStyle w:val="BodyText"/>
      </w:pPr>
      <w:r w:rsidRPr="007B57E3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7B57E3" w:rsidP="00F356E8">
      <w:pPr>
        <w:pStyle w:val="BodyText"/>
      </w:pPr>
      <w:r w:rsidRPr="007B57E3">
        <w:t>No licensing, legislative or certification requireme</w:t>
      </w:r>
      <w:r w:rsidRPr="007B57E3">
        <w:t>nts apply to this unit at the time of publication.</w:t>
      </w:r>
    </w:p>
    <w:p w:rsidR="00000000" w:rsidRPr="007B57E3" w:rsidP="007B57E3">
      <w:pPr>
        <w:pStyle w:val="Heading1"/>
      </w:pPr>
      <w:bookmarkStart w:id="3" w:name="O_1186900"/>
      <w:bookmarkEnd w:id="3"/>
      <w:r w:rsidRPr="007B57E3">
        <w:t>Pre-requisite Unit</w:t>
      </w:r>
    </w:p>
    <w:p w:rsidR="00000000" w:rsidRPr="007B57E3" w:rsidP="00F356E8">
      <w:pPr>
        <w:pStyle w:val="BodyText"/>
      </w:pPr>
      <w:r w:rsidRPr="007B57E3">
        <w:t>Nil</w:t>
      </w:r>
    </w:p>
    <w:p w:rsidR="00000000" w:rsidRPr="007B57E3" w:rsidP="007B57E3">
      <w:pPr>
        <w:pStyle w:val="Heading1"/>
      </w:pPr>
      <w:bookmarkStart w:id="4" w:name="O_1186902"/>
      <w:bookmarkEnd w:id="4"/>
      <w:r w:rsidRPr="007B57E3">
        <w:t>Unit Sector</w:t>
      </w:r>
    </w:p>
    <w:p w:rsidR="00000000" w:rsidRPr="007B57E3" w:rsidP="00F356E8">
      <w:pPr>
        <w:pStyle w:val="BodyText"/>
      </w:pPr>
      <w:r w:rsidRPr="007B57E3">
        <w:t>Grain Processing (GRA)</w:t>
      </w:r>
    </w:p>
    <w:p w:rsidR="00000000" w:rsidRPr="007B57E3" w:rsidP="007B57E3">
      <w:pPr>
        <w:pStyle w:val="Heading1"/>
      </w:pPr>
      <w:bookmarkStart w:id="5" w:name="O_1186903"/>
      <w:bookmarkEnd w:id="5"/>
      <w:r w:rsidRPr="007B57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5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Performance Criteria</w:t>
            </w:r>
          </w:p>
        </w:tc>
      </w:tr>
      <w:tr w:rsidTr="00F35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5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1. Receive grain from supplier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1.1 Compare order details to details on delivery docket</w:t>
            </w:r>
          </w:p>
          <w:p w:rsidR="00000000" w:rsidRPr="007B57E3" w:rsidP="007B57E3">
            <w:pPr>
              <w:pStyle w:val="BodyText"/>
            </w:pPr>
            <w:r w:rsidRPr="007B57E3">
              <w:t>1.2 Check vendor declaration t</w:t>
            </w:r>
            <w:r w:rsidRPr="007B57E3">
              <w:t>o ensure grain meets specifications of order</w:t>
            </w:r>
          </w:p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1.3 Carry out visual inspection to ensure delivery meets order requirements</w:t>
            </w:r>
          </w:p>
        </w:tc>
      </w:tr>
      <w:tr w:rsidTr="00F35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2. Sample and test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2.1 Select, fit and use personal protective clothing and equipment according to health and safety and food safety requirements</w:t>
            </w:r>
          </w:p>
          <w:p w:rsidR="00000000" w:rsidRPr="007B57E3" w:rsidP="007B57E3">
            <w:pPr>
              <w:pStyle w:val="BodyText"/>
            </w:pPr>
            <w:r w:rsidRPr="007B57E3">
              <w:t>2.2 Take representative samples of grain for testing according to workplace procedures and food safety requirements</w:t>
            </w:r>
          </w:p>
          <w:p w:rsidR="00000000" w:rsidRPr="007B57E3" w:rsidP="007B57E3">
            <w:pPr>
              <w:pStyle w:val="BodyText"/>
            </w:pPr>
            <w:r w:rsidRPr="007B57E3">
              <w:t>2.3 Conduct b</w:t>
            </w:r>
            <w:r w:rsidRPr="007B57E3">
              <w:t>asic tests to check properties of incoming grain</w:t>
            </w:r>
          </w:p>
          <w:p w:rsidR="00000000" w:rsidRPr="007B57E3" w:rsidP="007B57E3">
            <w:pPr>
              <w:pStyle w:val="BodyText"/>
            </w:pPr>
            <w:r w:rsidRPr="007B57E3">
              <w:t>2.4 Confirm raw materials meet processing requirements, or take action to respond to out-of-specification materials</w:t>
            </w:r>
          </w:p>
          <w:p w:rsidR="00000000" w:rsidRPr="007B57E3" w:rsidP="007B57E3">
            <w:pPr>
              <w:pStyle w:val="BodyText"/>
            </w:pPr>
            <w:r w:rsidRPr="007B57E3">
              <w:t>2.5 Record delivery of raw materials, in line with workplace procedures</w:t>
            </w:r>
          </w:p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2.6 Prepare grain s</w:t>
            </w:r>
            <w:r w:rsidRPr="007B57E3">
              <w:t>amples for dispatch, including labelling and packaging according to food safety and workplace requirements</w:t>
            </w:r>
          </w:p>
        </w:tc>
      </w:tr>
      <w:tr w:rsidTr="00F356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3. Move grain into and out of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3.1 Identify grain for handling and storage according to food safety and workplace requirements</w:t>
            </w:r>
          </w:p>
          <w:p w:rsidR="00000000" w:rsidRPr="007B57E3" w:rsidP="007B57E3">
            <w:pPr>
              <w:pStyle w:val="BodyText"/>
            </w:pPr>
            <w:r w:rsidRPr="007B57E3">
              <w:t>3.2 Select app</w:t>
            </w:r>
            <w:r w:rsidRPr="007B57E3">
              <w:t>ropriate silo types and handling equipment for various grains in relation to their storage characteristics and flow properties</w:t>
            </w:r>
          </w:p>
          <w:p w:rsidR="00000000" w:rsidRPr="007B57E3" w:rsidP="007B57E3">
            <w:pPr>
              <w:pStyle w:val="BodyText"/>
            </w:pPr>
            <w:r w:rsidRPr="007B57E3">
              <w:t>3.3 Conduct pre-start checks on machinery and equipment used for grain storage and transfers</w:t>
            </w:r>
          </w:p>
          <w:p w:rsidR="00000000" w:rsidRPr="007B57E3" w:rsidP="007B57E3">
            <w:pPr>
              <w:pStyle w:val="BodyText"/>
            </w:pPr>
            <w:r w:rsidRPr="007B57E3">
              <w:t>3.4 Start, operate, monitor and adju</w:t>
            </w:r>
            <w:r w:rsidRPr="007B57E3">
              <w:t>st storage and transfer equipment</w:t>
            </w:r>
          </w:p>
          <w:p w:rsidR="00000000" w:rsidRPr="007B57E3" w:rsidP="007B57E3">
            <w:pPr>
              <w:pStyle w:val="BodyText"/>
            </w:pPr>
            <w:r w:rsidRPr="007B57E3">
              <w:t>3.5 Segregate grain according to work instructions based on type, variety and quality characteristics, and keep workplace and traceability records</w:t>
            </w:r>
          </w:p>
          <w:p w:rsidR="00000000" w:rsidRPr="007B57E3" w:rsidP="007B57E3">
            <w:pPr>
              <w:pStyle w:val="BodyText"/>
            </w:pPr>
            <w:r w:rsidRPr="007B57E3">
              <w:t xml:space="preserve">3.6 Take steps to minimise pest infestation according to health and safety </w:t>
            </w:r>
            <w:r w:rsidRPr="007B57E3">
              <w:t>and food safety requirements</w:t>
            </w:r>
          </w:p>
          <w:p w:rsidR="00000000" w:rsidRPr="007B57E3" w:rsidP="007B57E3">
            <w:pPr>
              <w:pStyle w:val="BodyText"/>
            </w:pPr>
            <w:r w:rsidRPr="007B57E3">
              <w:t>3.7 Move grain safely into and out of storage according to health and safety and food safety requirements</w:t>
            </w:r>
          </w:p>
          <w:p w:rsidR="00000000" w:rsidRPr="007B57E3" w:rsidP="007B57E3">
            <w:pPr>
              <w:pStyle w:val="BodyText"/>
            </w:pPr>
            <w:r w:rsidRPr="007B57E3">
              <w:t xml:space="preserve">3.8 Implement suitable measures to minimise the effect of desiccant dusts on the flow properties of grain </w:t>
            </w:r>
          </w:p>
          <w:p w:rsidR="00000000" w:rsidRPr="007B57E3" w:rsidP="007B57E3">
            <w:pPr>
              <w:pStyle w:val="BodyText"/>
            </w:pPr>
            <w:r w:rsidRPr="007B57E3">
              <w:t>3.9 Check grai</w:t>
            </w:r>
            <w:r w:rsidRPr="007B57E3">
              <w:t>n regularly during movement for contamination according to health and safety and food safety requirements</w:t>
            </w:r>
          </w:p>
          <w:p w:rsidR="00000000" w:rsidRPr="007B57E3" w:rsidP="007B57E3">
            <w:pPr>
              <w:pStyle w:val="BodyText"/>
            </w:pPr>
            <w:r w:rsidRPr="007B57E3">
              <w:t>3.10 Clean storage and handling equipment thoroughly after emptying according to food safety requirements</w:t>
            </w:r>
          </w:p>
          <w:p w:rsidR="00000000" w:rsidRPr="007B57E3" w:rsidP="007B57E3">
            <w:pPr>
              <w:pStyle w:val="BodyText"/>
            </w:pPr>
            <w:r w:rsidRPr="007B57E3">
              <w:t>3.11 Maintain workplace records, including t</w:t>
            </w:r>
            <w:r w:rsidRPr="007B57E3">
              <w:t xml:space="preserve">raceability and biosecurity records, according to workplace procedures </w:t>
            </w:r>
          </w:p>
        </w:tc>
      </w:tr>
    </w:tbl>
    <w:p w:rsidR="00000000" w:rsidRPr="007B57E3" w:rsidP="007B57E3">
      <w:pPr>
        <w:pStyle w:val="BodyText"/>
      </w:pPr>
    </w:p>
    <w:p w:rsidR="00000000" w:rsidRPr="007B57E3" w:rsidP="007B57E3">
      <w:pPr>
        <w:pStyle w:val="AllowPageBreak"/>
      </w:pPr>
    </w:p>
    <w:p w:rsidR="00000000" w:rsidRPr="007B57E3" w:rsidP="007B57E3">
      <w:pPr>
        <w:pStyle w:val="Heading1"/>
      </w:pPr>
      <w:bookmarkStart w:id="6" w:name="O_1186904"/>
      <w:bookmarkEnd w:id="6"/>
      <w:r w:rsidRPr="007B57E3">
        <w:t>Foundation Skills</w:t>
      </w:r>
    </w:p>
    <w:p w:rsidR="00000000" w:rsidRPr="00F356E8" w:rsidP="00F356E8">
      <w:pPr>
        <w:pStyle w:val="BodyText"/>
        <w:rPr>
          <w:i/>
        </w:rPr>
      </w:pPr>
      <w:r w:rsidRPr="00F356E8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356E8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Description</w:t>
            </w:r>
          </w:p>
        </w:tc>
      </w:tr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ListBullet"/>
            </w:pPr>
            <w:r w:rsidRPr="007B57E3">
              <w:t>Interpret grain order details</w:t>
            </w:r>
          </w:p>
          <w:p w:rsidR="00000000" w:rsidRPr="007B57E3" w:rsidP="007B57E3">
            <w:pPr>
              <w:pStyle w:val="ListBullet"/>
            </w:pPr>
            <w:r w:rsidRPr="007B57E3">
              <w:t xml:space="preserve">Interpret storage requirements </w:t>
            </w:r>
          </w:p>
          <w:p w:rsidR="00000000" w:rsidP="007B57E3">
            <w:pPr>
              <w:pStyle w:val="ListBullet"/>
              <w:rPr>
                <w:lang w:val="en-NZ"/>
              </w:rPr>
            </w:pPr>
            <w:r w:rsidRPr="007B57E3">
              <w:t>Interpret directions for the safe operation of equipment</w:t>
            </w:r>
          </w:p>
        </w:tc>
      </w:tr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ListBullet"/>
            </w:pPr>
            <w:r w:rsidRPr="007B57E3">
              <w:t xml:space="preserve">Record out-of-specification results </w:t>
            </w:r>
          </w:p>
          <w:p w:rsidR="00000000" w:rsidP="007B57E3">
            <w:pPr>
              <w:pStyle w:val="ListBullet"/>
              <w:rPr>
                <w:lang w:val="en-NZ"/>
              </w:rPr>
            </w:pPr>
            <w:r w:rsidRPr="007B57E3">
              <w:t>Complete processing records using digital and/or paper-based formats</w:t>
            </w:r>
          </w:p>
        </w:tc>
      </w:tr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ListBullet"/>
            </w:pPr>
            <w:r w:rsidRPr="007B57E3">
              <w:t>Estimate and measure weight, volume and space requirements (kg, T, hL)</w:t>
            </w:r>
          </w:p>
          <w:p w:rsidR="00000000" w:rsidRPr="007B57E3" w:rsidP="007B57E3">
            <w:pPr>
              <w:pStyle w:val="ListBullet"/>
            </w:pPr>
            <w:r w:rsidRPr="007B57E3">
              <w:t>Read and interpret gauges and scales, including temperature</w:t>
            </w:r>
          </w:p>
          <w:p w:rsidR="00000000" w:rsidRPr="007B57E3" w:rsidP="007B57E3">
            <w:pPr>
              <w:pStyle w:val="ListBullet"/>
            </w:pPr>
            <w:r w:rsidRPr="007B57E3">
              <w:t>Determine equipment capacity and operating pa</w:t>
            </w:r>
            <w:r w:rsidRPr="007B57E3">
              <w:t>rameters</w:t>
            </w:r>
          </w:p>
        </w:tc>
      </w:tr>
    </w:tbl>
    <w:p w:rsidR="00000000" w:rsidRPr="007B57E3" w:rsidP="007B57E3">
      <w:pPr>
        <w:pStyle w:val="BodyText"/>
      </w:pPr>
    </w:p>
    <w:p w:rsidR="00000000" w:rsidRPr="007B57E3" w:rsidP="007B57E3">
      <w:pPr>
        <w:pStyle w:val="AllowPageBreak"/>
      </w:pPr>
    </w:p>
    <w:p w:rsidR="00000000" w:rsidRPr="007B57E3" w:rsidP="007B57E3">
      <w:pPr>
        <w:pStyle w:val="Heading1"/>
      </w:pPr>
      <w:bookmarkStart w:id="7" w:name="O_1186906"/>
      <w:bookmarkEnd w:id="7"/>
      <w:r w:rsidRPr="007B57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Bold"/>
              <w:rPr>
                <w:lang w:val="en-NZ"/>
              </w:rPr>
            </w:pPr>
            <w:r w:rsidRPr="007B57E3">
              <w:t>Equivalence status</w:t>
            </w:r>
          </w:p>
        </w:tc>
      </w:tr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FBPGRA3025 Receive and handle grain in a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FBPGRA2010 Handle grain in a storage area</w:t>
            </w:r>
          </w:p>
          <w:p w:rsidR="00000000" w:rsidRPr="007B57E3" w:rsidP="007B57E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Unit merged to remove duplication</w:t>
            </w:r>
          </w:p>
          <w:p w:rsidR="00000000" w:rsidRPr="007B57E3" w:rsidP="007B57E3">
            <w:pPr>
              <w:pStyle w:val="BodyText"/>
            </w:pPr>
            <w:r w:rsidRPr="007B57E3">
              <w:t>Unit title and code updated to better match work task</w:t>
            </w:r>
          </w:p>
          <w:p w:rsidR="00000000" w:rsidRPr="007B57E3" w:rsidP="007B57E3">
            <w:pPr>
              <w:pStyle w:val="BodyText"/>
            </w:pPr>
            <w:r w:rsidRPr="007B57E3">
              <w:t xml:space="preserve">Element 1 added </w:t>
            </w:r>
          </w:p>
          <w:p w:rsidR="00000000" w:rsidRPr="007B57E3" w:rsidP="007B57E3">
            <w:pPr>
              <w:pStyle w:val="BodyText"/>
            </w:pPr>
            <w:r w:rsidRPr="007B57E3">
              <w:t>Minor changes to existing Performance Criteria to clarify intent</w:t>
            </w:r>
          </w:p>
          <w:p w:rsidR="00000000" w:rsidRPr="007B57E3" w:rsidP="007B57E3">
            <w:pPr>
              <w:pStyle w:val="BodyText"/>
            </w:pPr>
            <w:r w:rsidRPr="007B57E3">
              <w:t>Foundation Skills refined</w:t>
            </w:r>
          </w:p>
          <w:p w:rsidR="00000000" w:rsidRPr="007B57E3" w:rsidP="007B57E3">
            <w:pPr>
              <w:pStyle w:val="BodyText"/>
            </w:pPr>
            <w:r w:rsidRPr="007B57E3">
              <w:t>Performance Evidence clarified</w:t>
            </w:r>
          </w:p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Minor changes to Knowledge Ev</w:t>
            </w:r>
            <w:r w:rsidRPr="007B57E3">
              <w:t>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 xml:space="preserve">Not equivalent </w:t>
            </w:r>
          </w:p>
        </w:tc>
      </w:tr>
      <w:tr w:rsidTr="007B57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FBPGRA3025 Receive and handle grain in a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FBPGRA2011 Receive grain for malting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Unit merged to remove duplication</w:t>
            </w:r>
          </w:p>
          <w:p w:rsidR="00000000" w:rsidRPr="007B57E3" w:rsidP="007B57E3">
            <w:pPr>
              <w:pStyle w:val="BodyText"/>
            </w:pPr>
            <w:r w:rsidRPr="007B57E3">
              <w:t>Unit title and code updated to better match work task</w:t>
            </w:r>
          </w:p>
          <w:p w:rsidR="00000000" w:rsidRPr="007B57E3" w:rsidP="007B57E3">
            <w:pPr>
              <w:pStyle w:val="BodyText"/>
            </w:pPr>
            <w:r w:rsidRPr="007B57E3">
              <w:t>Minor changes to existing P</w:t>
            </w:r>
            <w:r w:rsidRPr="007B57E3">
              <w:t>erformance Criteria to clarify intent</w:t>
            </w:r>
          </w:p>
          <w:p w:rsidR="00000000" w:rsidRPr="007B57E3" w:rsidP="007B57E3">
            <w:pPr>
              <w:pStyle w:val="BodyText"/>
            </w:pPr>
            <w:r w:rsidRPr="007B57E3">
              <w:t>Foundation Skills refined</w:t>
            </w:r>
          </w:p>
          <w:p w:rsidR="00000000" w:rsidRPr="007B57E3" w:rsidP="007B57E3">
            <w:pPr>
              <w:pStyle w:val="BodyText"/>
            </w:pPr>
            <w:r w:rsidRPr="007B57E3">
              <w:t>Performance Evidence clarified</w:t>
            </w:r>
          </w:p>
          <w:p w:rsidR="00000000" w:rsidP="007B57E3">
            <w:pPr>
              <w:pStyle w:val="BodyText"/>
              <w:rPr>
                <w:lang w:val="en-NZ"/>
              </w:rPr>
            </w:pPr>
            <w:r w:rsidRPr="007B57E3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E3" w:rsidP="007B57E3">
            <w:pPr>
              <w:pStyle w:val="BodyText"/>
            </w:pPr>
            <w:r w:rsidRPr="007B57E3">
              <w:t>Not equivalent</w:t>
            </w:r>
          </w:p>
        </w:tc>
      </w:tr>
    </w:tbl>
    <w:p w:rsidR="00000000" w:rsidRPr="007B57E3" w:rsidP="007B57E3">
      <w:pPr>
        <w:pStyle w:val="BodyText"/>
      </w:pPr>
    </w:p>
    <w:p w:rsidR="00000000" w:rsidRPr="007B57E3" w:rsidP="007B57E3">
      <w:pPr>
        <w:pStyle w:val="AllowPageBreak"/>
      </w:pPr>
    </w:p>
    <w:p w:rsidR="00000000" w:rsidRPr="007B57E3" w:rsidP="007B57E3">
      <w:pPr>
        <w:pStyle w:val="Heading1"/>
      </w:pPr>
      <w:bookmarkStart w:id="8" w:name="O_1186913"/>
      <w:bookmarkEnd w:id="8"/>
      <w:r w:rsidRPr="007B57E3">
        <w:t>Links</w:t>
      </w:r>
    </w:p>
    <w:p w:rsidR="00000000" w:rsidRPr="007B57E3" w:rsidP="00F356E8">
      <w:pPr>
        <w:pStyle w:val="BodyText"/>
      </w:pPr>
      <w:r w:rsidRPr="007B57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2D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57E3" w:rsidP="007B57E3"/>
    <w:sectPr w:rsidSect="007B5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E3" w:rsidRPr="00F356E8" w:rsidP="00F35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E8" w:rsidP="007B5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6E8" w:rsidP="007B5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56E8" w:rsidP="007B5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7E3" w:rsidRPr="00F356E8" w:rsidP="00F35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E8" w:rsidRPr="002D2AF8" w:rsidP="007B5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FBPGRA3025 Receive and handle grain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356E8" w:rsidP="007B5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269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CE1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7E3"/>
  </w:style>
  <w:style w:type="character" w:customStyle="1" w:styleId="Heading1Char">
    <w:name w:val="Heading 1 Char"/>
    <w:basedOn w:val="DefaultParagraphFont"/>
    <w:link w:val="Heading1"/>
    <w:rsid w:val="007B5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7E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57E3"/>
    <w:rPr>
      <w:i/>
    </w:rPr>
  </w:style>
  <w:style w:type="paragraph" w:customStyle="1" w:styleId="SuperHeading">
    <w:name w:val="SuperHeading"/>
    <w:basedOn w:val="Normal"/>
    <w:rsid w:val="007B5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57E3"/>
    <w:rPr>
      <w:b/>
    </w:rPr>
  </w:style>
  <w:style w:type="character" w:customStyle="1" w:styleId="Heading2Char">
    <w:name w:val="Heading 2 Char"/>
    <w:basedOn w:val="DefaultParagraphFont"/>
    <w:link w:val="Heading2"/>
    <w:rsid w:val="007B5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7E3"/>
    <w:rPr>
      <w:b/>
      <w:spacing w:val="0"/>
    </w:rPr>
  </w:style>
  <w:style w:type="paragraph" w:customStyle="1" w:styleId="SuperTitle">
    <w:name w:val="SuperTitle"/>
    <w:basedOn w:val="Title"/>
    <w:rsid w:val="007B5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7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7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7E3"/>
  </w:style>
  <w:style w:type="paragraph" w:styleId="TableofFigures">
    <w:name w:val="table of figures"/>
    <w:basedOn w:val="Normal"/>
    <w:next w:val="Normal"/>
    <w:semiHidden/>
    <w:rsid w:val="007B5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7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7E3"/>
    <w:rPr>
      <w:rFonts w:ascii="Wingdings" w:hAnsi="Wingdings"/>
    </w:rPr>
  </w:style>
  <w:style w:type="paragraph" w:customStyle="1" w:styleId="TableHeading">
    <w:name w:val="Table Heading"/>
    <w:basedOn w:val="HeadingBase"/>
    <w:rsid w:val="007B5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7E3"/>
    <w:rPr>
      <w:color w:val="0033CC"/>
      <w:u w:val="none"/>
    </w:rPr>
  </w:style>
  <w:style w:type="paragraph" w:customStyle="1" w:styleId="BodyTextRight">
    <w:name w:val="Body Text Right"/>
    <w:basedOn w:val="BodyText"/>
    <w:rsid w:val="007B5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7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7E3"/>
    <w:rPr>
      <w:sz w:val="32"/>
    </w:rPr>
  </w:style>
  <w:style w:type="paragraph" w:customStyle="1" w:styleId="HeadingProcedure">
    <w:name w:val="Heading Procedure"/>
    <w:basedOn w:val="HeadingBase"/>
    <w:next w:val="Normal"/>
    <w:rsid w:val="007B5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7E3"/>
    <w:pPr>
      <w:spacing w:before="60" w:after="60"/>
    </w:pPr>
  </w:style>
  <w:style w:type="paragraph" w:styleId="ListContinue">
    <w:name w:val="List Continue"/>
    <w:basedOn w:val="List"/>
    <w:rsid w:val="007B57E3"/>
    <w:pPr>
      <w:ind w:firstLine="0"/>
    </w:pPr>
  </w:style>
  <w:style w:type="paragraph" w:customStyle="1" w:styleId="ListNote">
    <w:name w:val="List Note"/>
    <w:basedOn w:val="List"/>
    <w:rsid w:val="007B5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7E3"/>
    <w:rPr>
      <w:rFonts w:ascii="Courier New" w:hAnsi="Courier New"/>
    </w:rPr>
  </w:style>
  <w:style w:type="paragraph" w:customStyle="1" w:styleId="NoteBullet">
    <w:name w:val="Note Bullet"/>
    <w:basedOn w:val="Note"/>
    <w:rsid w:val="007B5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7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7E3"/>
    <w:rPr>
      <w:b/>
      <w:smallCaps/>
    </w:rPr>
  </w:style>
  <w:style w:type="paragraph" w:customStyle="1" w:styleId="TableListNumber">
    <w:name w:val="Table List Number"/>
    <w:basedOn w:val="ListNumber"/>
    <w:rsid w:val="007B5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7E3"/>
    <w:pPr>
      <w:numPr>
        <w:numId w:val="8"/>
      </w:numPr>
    </w:pPr>
  </w:style>
  <w:style w:type="paragraph" w:customStyle="1" w:styleId="ListAlpha2">
    <w:name w:val="List Alpha 2"/>
    <w:basedOn w:val="List2"/>
    <w:rsid w:val="007B57E3"/>
    <w:pPr>
      <w:numPr>
        <w:numId w:val="7"/>
      </w:numPr>
    </w:pPr>
  </w:style>
  <w:style w:type="paragraph" w:styleId="List2">
    <w:name w:val="List 2"/>
    <w:basedOn w:val="BodyText"/>
    <w:rsid w:val="007B5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7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7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7E3"/>
    <w:pPr>
      <w:numPr>
        <w:numId w:val="3"/>
      </w:numPr>
    </w:pPr>
  </w:style>
  <w:style w:type="paragraph" w:styleId="ListContinue2">
    <w:name w:val="List Continue 2"/>
    <w:basedOn w:val="List2"/>
    <w:rsid w:val="007B57E3"/>
    <w:pPr>
      <w:ind w:firstLine="0"/>
    </w:pPr>
  </w:style>
  <w:style w:type="paragraph" w:styleId="ListContinue3">
    <w:name w:val="List Continue 3"/>
    <w:basedOn w:val="List3"/>
    <w:rsid w:val="007B57E3"/>
    <w:pPr>
      <w:ind w:left="1021" w:firstLine="0"/>
    </w:pPr>
  </w:style>
  <w:style w:type="paragraph" w:styleId="ListContinue4">
    <w:name w:val="List Continue 4"/>
    <w:basedOn w:val="List4"/>
    <w:rsid w:val="007B57E3"/>
    <w:pPr>
      <w:ind w:firstLine="0"/>
    </w:pPr>
  </w:style>
  <w:style w:type="paragraph" w:styleId="ListContinue5">
    <w:name w:val="List Continue 5"/>
    <w:basedOn w:val="List5"/>
    <w:rsid w:val="007B57E3"/>
    <w:pPr>
      <w:ind w:firstLine="0"/>
    </w:pPr>
  </w:style>
  <w:style w:type="paragraph" w:styleId="ListNumber3">
    <w:name w:val="List Number 3"/>
    <w:basedOn w:val="List3"/>
    <w:rsid w:val="007B57E3"/>
    <w:pPr>
      <w:numPr>
        <w:numId w:val="4"/>
      </w:numPr>
    </w:pPr>
  </w:style>
  <w:style w:type="paragraph" w:styleId="ListNumber4">
    <w:name w:val="List Number 4"/>
    <w:basedOn w:val="List4"/>
    <w:rsid w:val="007B57E3"/>
    <w:pPr>
      <w:numPr>
        <w:numId w:val="5"/>
      </w:numPr>
    </w:pPr>
  </w:style>
  <w:style w:type="paragraph" w:styleId="ListNumber5">
    <w:name w:val="List Number 5"/>
    <w:basedOn w:val="List5"/>
    <w:rsid w:val="007B57E3"/>
    <w:pPr>
      <w:numPr>
        <w:numId w:val="6"/>
      </w:numPr>
    </w:pPr>
  </w:style>
  <w:style w:type="paragraph" w:styleId="BlockText">
    <w:name w:val="Block Text"/>
    <w:basedOn w:val="Normal"/>
    <w:rsid w:val="007B5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7E3"/>
    <w:rPr>
      <w:sz w:val="16"/>
      <w:vertAlign w:val="superscript"/>
    </w:rPr>
  </w:style>
  <w:style w:type="character" w:customStyle="1" w:styleId="Symbols">
    <w:name w:val="Symbols"/>
    <w:basedOn w:val="DefaultParagraphFont"/>
    <w:rsid w:val="007B57E3"/>
    <w:rPr>
      <w:rFonts w:ascii="Symbol" w:hAnsi="Symbol"/>
    </w:rPr>
  </w:style>
  <w:style w:type="character" w:customStyle="1" w:styleId="MenuOptions">
    <w:name w:val="Menu Options"/>
    <w:basedOn w:val="DefaultParagraphFont"/>
    <w:rsid w:val="007B5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7E3"/>
    <w:rPr>
      <w:b/>
    </w:rPr>
  </w:style>
  <w:style w:type="character" w:customStyle="1" w:styleId="Underlined">
    <w:name w:val="Underlined"/>
    <w:basedOn w:val="DefaultParagraphFont"/>
    <w:rsid w:val="007B57E3"/>
    <w:rPr>
      <w:u w:val="single"/>
    </w:rPr>
  </w:style>
  <w:style w:type="paragraph" w:customStyle="1" w:styleId="TableBodyTextRight">
    <w:name w:val="Table Body Text Right"/>
    <w:basedOn w:val="TableBodyText"/>
    <w:rsid w:val="007B5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7E3"/>
    <w:rPr>
      <w:sz w:val="18"/>
    </w:rPr>
  </w:style>
  <w:style w:type="paragraph" w:customStyle="1" w:styleId="BodySmallRight">
    <w:name w:val="Body Small Right"/>
    <w:basedOn w:val="BodyTextRight"/>
    <w:rsid w:val="007B57E3"/>
    <w:rPr>
      <w:sz w:val="18"/>
      <w:szCs w:val="18"/>
    </w:rPr>
  </w:style>
  <w:style w:type="paragraph" w:customStyle="1" w:styleId="MarginEdition">
    <w:name w:val="Margin Edition"/>
    <w:basedOn w:val="MarginNote"/>
    <w:rsid w:val="007B5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7E3"/>
    <w:rPr>
      <w:sz w:val="2"/>
      <w:szCs w:val="2"/>
    </w:rPr>
  </w:style>
  <w:style w:type="character" w:customStyle="1" w:styleId="Small">
    <w:name w:val="Small"/>
    <w:basedOn w:val="DefaultParagraphFont"/>
    <w:rsid w:val="007B57E3"/>
    <w:rPr>
      <w:sz w:val="16"/>
    </w:rPr>
  </w:style>
  <w:style w:type="paragraph" w:customStyle="1" w:styleId="WideTable">
    <w:name w:val="Wide Table"/>
    <w:basedOn w:val="Normal"/>
    <w:rsid w:val="007B5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7E3"/>
  </w:style>
  <w:style w:type="paragraph" w:styleId="Quote">
    <w:name w:val="Quote"/>
    <w:basedOn w:val="Heading1"/>
    <w:link w:val="QuoteChar"/>
    <w:qFormat/>
    <w:rsid w:val="007B5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7E3"/>
    <w:pPr>
      <w:pageBreakBefore/>
    </w:pPr>
  </w:style>
  <w:style w:type="paragraph" w:customStyle="1" w:styleId="Border">
    <w:name w:val="Border"/>
    <w:basedOn w:val="Normal"/>
    <w:qFormat/>
    <w:rsid w:val="007B5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7E3"/>
    <w:rPr>
      <w:u w:val="single"/>
    </w:rPr>
  </w:style>
  <w:style w:type="character" w:customStyle="1" w:styleId="BoldandItalics">
    <w:name w:val="Bold and Italics"/>
    <w:qFormat/>
    <w:rsid w:val="007B57E3"/>
    <w:rPr>
      <w:b/>
      <w:i/>
      <w:u w:val="none"/>
    </w:rPr>
  </w:style>
  <w:style w:type="paragraph" w:styleId="BalloonText">
    <w:name w:val="Balloon Text"/>
    <w:basedOn w:val="Normal"/>
    <w:link w:val="BalloonTextChar"/>
    <w:rsid w:val="007B5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7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5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4693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FBPGRA3025 Receive and handle grain in a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