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653" w:rsidP="00E37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FBPGRA3020 Blend and dispatch malt</w:t>
      </w:r>
      <w:r>
        <w:fldChar w:fldCharType="end"/>
      </w:r>
    </w:p>
    <w:p w:rsidR="00E37653" w:rsidP="00E37653">
      <w:pPr>
        <w:pStyle w:val="Version"/>
        <w:sectPr w:rsidSect="00BB7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24F" w:rsidP="00BB724F">
      <w:pPr>
        <w:pStyle w:val="SuperHeading"/>
      </w:pPr>
      <w:r w:rsidRPr="00BB724F">
        <w:t>Assessment Requirements for FBPGRA3020 Blend and dispatch malt</w:t>
      </w:r>
    </w:p>
    <w:p w:rsidR="00000000" w:rsidRPr="00BB724F" w:rsidP="00BB724F">
      <w:pPr>
        <w:pStyle w:val="Heading1"/>
      </w:pPr>
      <w:bookmarkStart w:id="1" w:name="O_1187786"/>
      <w:bookmarkEnd w:id="1"/>
      <w:r w:rsidRPr="00BB72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4F">
            <w:pPr>
              <w:pStyle w:val="BodyTextBold"/>
              <w:rPr>
                <w:lang w:val="en-NZ"/>
              </w:rPr>
            </w:pPr>
            <w:r w:rsidRPr="00BB72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4F">
            <w:pPr>
              <w:pStyle w:val="BodyTextBold"/>
              <w:rPr>
                <w:lang w:val="en-NZ"/>
              </w:rPr>
            </w:pPr>
            <w:r w:rsidRPr="00BB724F">
              <w:t>Comments</w:t>
            </w:r>
          </w:p>
        </w:tc>
      </w:tr>
      <w:tr w:rsidTr="00BB7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4F">
            <w:pPr>
              <w:pStyle w:val="BodyText"/>
              <w:rPr>
                <w:lang w:val="en-NZ"/>
              </w:rPr>
            </w:pPr>
            <w:r w:rsidRPr="00BB72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4F" w:rsidP="00BB724F">
            <w:pPr>
              <w:pStyle w:val="BodyText"/>
            </w:pPr>
            <w:r w:rsidRPr="00BB724F">
              <w:t>This version released with FBP Food, Beverage and Pharmaceutical Training Package Version 6.0</w:t>
            </w:r>
          </w:p>
        </w:tc>
      </w:tr>
    </w:tbl>
    <w:p w:rsidR="00000000" w:rsidRPr="00BB724F" w:rsidP="00BB724F">
      <w:pPr>
        <w:pStyle w:val="BodyText"/>
      </w:pPr>
    </w:p>
    <w:p w:rsidR="00000000" w:rsidRPr="00BB724F" w:rsidP="00BB724F">
      <w:pPr>
        <w:pStyle w:val="AllowPageBreak"/>
      </w:pPr>
    </w:p>
    <w:p w:rsidR="00000000" w:rsidRPr="00BB724F" w:rsidP="00BB724F">
      <w:pPr>
        <w:pStyle w:val="Heading1"/>
      </w:pPr>
      <w:bookmarkStart w:id="2" w:name="O_1187787"/>
      <w:bookmarkEnd w:id="2"/>
      <w:r w:rsidRPr="00BB724F">
        <w:t>Performance Evidence</w:t>
      </w:r>
    </w:p>
    <w:p w:rsidR="00000000" w:rsidRPr="00BB724F" w:rsidP="00E37653">
      <w:pPr>
        <w:pStyle w:val="BodyText"/>
      </w:pPr>
      <w:r w:rsidRPr="00BB724F">
        <w:t>An individual demonstrating competency must satisfy all of the elements and performance criteria in this unit.</w:t>
      </w:r>
    </w:p>
    <w:p w:rsidR="00000000" w:rsidRPr="00BB724F" w:rsidP="00E37653">
      <w:pPr>
        <w:pStyle w:val="BodyText"/>
      </w:pPr>
      <w:r w:rsidRPr="00BB724F">
        <w:t>There must be evidence that the individual has blended and dispatched at least one batch of malt to meet product specificati</w:t>
      </w:r>
      <w:r w:rsidRPr="00BB724F">
        <w:t xml:space="preserve">on, including: </w:t>
      </w:r>
    </w:p>
    <w:p w:rsidR="00000000" w:rsidRPr="00BB724F" w:rsidP="00BB724F">
      <w:pPr>
        <w:pStyle w:val="ListBullet"/>
      </w:pPr>
      <w:r w:rsidRPr="00BB724F">
        <w:t>applying safe work practices</w:t>
      </w:r>
    </w:p>
    <w:p w:rsidR="00000000" w:rsidRPr="00BB724F" w:rsidP="00BB724F">
      <w:pPr>
        <w:pStyle w:val="ListBullet"/>
      </w:pPr>
      <w:r w:rsidRPr="00BB724F">
        <w:t>applying food safety procedures to work practices</w:t>
      </w:r>
    </w:p>
    <w:p w:rsidR="00000000" w:rsidRPr="00BB724F" w:rsidP="00BB724F">
      <w:pPr>
        <w:pStyle w:val="ListBullet"/>
      </w:pPr>
      <w:r w:rsidRPr="00BB724F">
        <w:t>determining blending dispatch requirements and matching product specification</w:t>
      </w:r>
    </w:p>
    <w:p w:rsidR="00000000" w:rsidRPr="00BB724F" w:rsidP="00BB724F">
      <w:pPr>
        <w:pStyle w:val="ListBullet"/>
      </w:pPr>
      <w:r w:rsidRPr="00BB724F">
        <w:t>taking corrective action in response to typical faults and inconsistencies.</w:t>
      </w:r>
    </w:p>
    <w:p w:rsidR="00000000" w:rsidRPr="00BB724F" w:rsidP="00BB724F">
      <w:pPr>
        <w:pStyle w:val="AllowPageBreak"/>
      </w:pPr>
    </w:p>
    <w:p w:rsidR="00000000" w:rsidRPr="00BB724F" w:rsidP="00BB724F">
      <w:pPr>
        <w:pStyle w:val="Heading1"/>
      </w:pPr>
      <w:bookmarkStart w:id="3" w:name="O_1187788"/>
      <w:bookmarkEnd w:id="3"/>
      <w:r w:rsidRPr="00BB724F">
        <w:t>Knowledge Evidence</w:t>
      </w:r>
    </w:p>
    <w:p w:rsidR="00000000" w:rsidRPr="00BB724F" w:rsidP="00E37653">
      <w:pPr>
        <w:pStyle w:val="BodyText"/>
      </w:pPr>
      <w:r w:rsidRPr="00BB724F">
        <w:t>An individual must be able to demonstrate the knowledge required to perform the tasks outlined in the elements and performance criteria of this unit. This includes knowledge of:</w:t>
      </w:r>
    </w:p>
    <w:p w:rsidR="00000000" w:rsidRPr="00BB724F" w:rsidP="00BB724F">
      <w:pPr>
        <w:pStyle w:val="ListBullet"/>
      </w:pPr>
      <w:r w:rsidRPr="00BB724F">
        <w:t>common terms for malt types and blends</w:t>
      </w:r>
    </w:p>
    <w:p w:rsidR="00000000" w:rsidRPr="00BB724F" w:rsidP="00BB724F">
      <w:pPr>
        <w:pStyle w:val="ListBullet"/>
      </w:pPr>
      <w:r w:rsidRPr="00BB724F">
        <w:t>m</w:t>
      </w:r>
      <w:r w:rsidRPr="00BB724F">
        <w:t>alts used in the enterprise and their relationship to blends required by customers</w:t>
      </w:r>
    </w:p>
    <w:p w:rsidR="00000000" w:rsidRPr="00BB724F" w:rsidP="00BB724F">
      <w:pPr>
        <w:pStyle w:val="ListBullet"/>
      </w:pPr>
      <w:r w:rsidRPr="00BB724F">
        <w:t>purpose and basic principles of the blending process</w:t>
      </w:r>
    </w:p>
    <w:p w:rsidR="00000000" w:rsidRPr="00BB724F" w:rsidP="00BB724F">
      <w:pPr>
        <w:pStyle w:val="ListBullet"/>
      </w:pPr>
      <w:r w:rsidRPr="00BB724F">
        <w:t xml:space="preserve">basic operating principles of equipment used to blend and dispatch malt, including main equipment components, equipment </w:t>
      </w:r>
      <w:r w:rsidRPr="00BB724F">
        <w:t>operating capacities and applications</w:t>
      </w:r>
    </w:p>
    <w:p w:rsidR="00000000" w:rsidRPr="00BB724F" w:rsidP="00BB724F">
      <w:pPr>
        <w:pStyle w:val="ListBullet"/>
      </w:pPr>
      <w:r w:rsidRPr="00BB724F">
        <w:t>loading techniques for modes of dispatch used in the workplace</w:t>
      </w:r>
    </w:p>
    <w:p w:rsidR="00000000" w:rsidRPr="00BB724F" w:rsidP="00BB724F">
      <w:pPr>
        <w:pStyle w:val="ListBullet"/>
      </w:pPr>
      <w:r w:rsidRPr="00BB724F">
        <w:t>cleaning requirements associated with changeovers and types of shutdowns for blending and dispatching malt</w:t>
      </w:r>
    </w:p>
    <w:p w:rsidR="00000000" w:rsidRPr="00BB724F" w:rsidP="00BB724F">
      <w:pPr>
        <w:pStyle w:val="ListBullet"/>
      </w:pPr>
      <w:r w:rsidRPr="00BB724F">
        <w:t>good manufacturing practices (GMP) relevant to w</w:t>
      </w:r>
      <w:r w:rsidRPr="00BB724F">
        <w:t>ork task</w:t>
      </w:r>
    </w:p>
    <w:p w:rsidR="00000000" w:rsidRPr="00BB724F" w:rsidP="00BB724F">
      <w:pPr>
        <w:pStyle w:val="ListBullet"/>
      </w:pPr>
      <w:r w:rsidRPr="00BB724F">
        <w:t>contamination/cross-contamination and food safety risks associated with the scalping and grading process, and related control measures, including microbiological, physical, chemical and allergen hazards</w:t>
      </w:r>
    </w:p>
    <w:p w:rsidR="00000000" w:rsidRPr="00BB724F" w:rsidP="00BB724F">
      <w:pPr>
        <w:pStyle w:val="ListBullet"/>
      </w:pPr>
      <w:r w:rsidRPr="00BB724F">
        <w:t xml:space="preserve">contamination avoidance procedures relevant </w:t>
      </w:r>
      <w:r w:rsidRPr="00BB724F">
        <w:t>to blending and dispatching malt, including:</w:t>
      </w:r>
    </w:p>
    <w:p w:rsidR="00000000" w:rsidRPr="00BB724F" w:rsidP="00BB724F">
      <w:pPr>
        <w:pStyle w:val="ListBullet2"/>
      </w:pPr>
      <w:r w:rsidRPr="00BB724F">
        <w:t>jewellery and loose objects in work area</w:t>
      </w:r>
    </w:p>
    <w:p w:rsidR="00000000" w:rsidRPr="00BB724F" w:rsidP="00BB724F">
      <w:pPr>
        <w:pStyle w:val="ListBullet2"/>
      </w:pPr>
      <w:r w:rsidRPr="00BB724F">
        <w:t>security and access procedures to work areas</w:t>
      </w:r>
    </w:p>
    <w:p w:rsidR="00000000" w:rsidRPr="00BB724F" w:rsidP="00BB724F">
      <w:pPr>
        <w:pStyle w:val="ListBullet2"/>
      </w:pPr>
      <w:r w:rsidRPr="00BB724F">
        <w:t>pest control procedures</w:t>
      </w:r>
    </w:p>
    <w:p w:rsidR="00000000" w:rsidRPr="00BB724F" w:rsidP="00BB724F">
      <w:pPr>
        <w:pStyle w:val="ListBullet"/>
      </w:pPr>
      <w:r w:rsidRPr="00BB724F">
        <w:t xml:space="preserve">procedures for dealing with contingencies, breakdowns and other non-standard events relevant </w:t>
      </w:r>
      <w:r w:rsidRPr="00BB724F">
        <w:t>to blending and dispatching malt</w:t>
      </w:r>
    </w:p>
    <w:p w:rsidR="00000000" w:rsidRPr="00BB724F" w:rsidP="00BB724F">
      <w:pPr>
        <w:pStyle w:val="ListBullet"/>
      </w:pPr>
      <w:r w:rsidRPr="00BB724F">
        <w:t>sampling and testing procedures for blending and dispatching malt</w:t>
      </w:r>
    </w:p>
    <w:p w:rsidR="00000000" w:rsidRPr="00BB724F" w:rsidP="00BB724F">
      <w:pPr>
        <w:pStyle w:val="ListBullet"/>
      </w:pPr>
      <w:r w:rsidRPr="00BB724F">
        <w:t>cleaning and sanitisation procedures relevant to the production process for blending and dispatching of malt</w:t>
      </w:r>
    </w:p>
    <w:p w:rsidR="00000000" w:rsidRPr="00BB724F" w:rsidP="00BB724F">
      <w:pPr>
        <w:pStyle w:val="ListBullet"/>
      </w:pPr>
      <w:r w:rsidRPr="00BB724F">
        <w:t>procedures to track traceability of product.</w:t>
      </w:r>
    </w:p>
    <w:p w:rsidR="00000000" w:rsidRPr="00BB724F" w:rsidP="00BB724F">
      <w:pPr>
        <w:pStyle w:val="AllowPageBreak"/>
      </w:pPr>
    </w:p>
    <w:p w:rsidR="00000000" w:rsidRPr="00BB724F" w:rsidP="00BB724F">
      <w:pPr>
        <w:pStyle w:val="Heading1"/>
      </w:pPr>
      <w:bookmarkStart w:id="4" w:name="O_1187789"/>
      <w:bookmarkEnd w:id="4"/>
      <w:r w:rsidRPr="00BB724F">
        <w:t>Assessment Conditions</w:t>
      </w:r>
    </w:p>
    <w:p w:rsidR="00000000" w:rsidRPr="00BB724F" w:rsidP="00E37653">
      <w:pPr>
        <w:pStyle w:val="BodyText"/>
      </w:pPr>
      <w:r w:rsidRPr="00BB724F">
        <w:t>Assessment of the skills in this unit of competency must take place under the following conditions:</w:t>
      </w:r>
    </w:p>
    <w:p w:rsidR="00000000" w:rsidRPr="00BB724F" w:rsidP="00BB724F">
      <w:pPr>
        <w:pStyle w:val="ListBullet"/>
      </w:pPr>
      <w:r w:rsidRPr="00BB724F">
        <w:t>physical conditions:</w:t>
      </w:r>
    </w:p>
    <w:p w:rsidR="00000000" w:rsidRPr="00BB724F" w:rsidP="00BB724F">
      <w:pPr>
        <w:pStyle w:val="ListBullet2"/>
      </w:pPr>
      <w:r w:rsidRPr="00BB724F">
        <w:t>a grain processing workplace or an environment that accurately represents workplace conditions</w:t>
      </w:r>
    </w:p>
    <w:p w:rsidR="00000000" w:rsidRPr="00BB724F" w:rsidP="00BB724F">
      <w:pPr>
        <w:pStyle w:val="ListBullet"/>
      </w:pPr>
      <w:r w:rsidRPr="00BB724F">
        <w:t>resources, equipment and materials:</w:t>
      </w:r>
    </w:p>
    <w:p w:rsidR="00000000" w:rsidRPr="00BB724F" w:rsidP="00BB724F">
      <w:pPr>
        <w:pStyle w:val="ListBullet2"/>
      </w:pPr>
      <w:r w:rsidRPr="00BB724F">
        <w:t>personal protective equipment required for operators in commercial malting plants</w:t>
      </w:r>
    </w:p>
    <w:p w:rsidR="00000000" w:rsidRPr="00BB724F" w:rsidP="00BB724F">
      <w:pPr>
        <w:pStyle w:val="ListBullet2"/>
      </w:pPr>
      <w:r w:rsidRPr="00BB724F">
        <w:t>malt of different types for blending</w:t>
      </w:r>
    </w:p>
    <w:p w:rsidR="00000000" w:rsidRPr="00BB724F" w:rsidP="00BB724F">
      <w:pPr>
        <w:pStyle w:val="ListBullet2"/>
      </w:pPr>
      <w:r w:rsidRPr="00BB724F">
        <w:t>blending and dispatch equipment</w:t>
      </w:r>
    </w:p>
    <w:p w:rsidR="00000000" w:rsidRPr="00BB724F" w:rsidP="00BB724F">
      <w:pPr>
        <w:pStyle w:val="ListBullet"/>
      </w:pPr>
      <w:r w:rsidRPr="00BB724F">
        <w:t>specifications:</w:t>
      </w:r>
    </w:p>
    <w:p w:rsidR="00000000" w:rsidRPr="00BB724F" w:rsidP="00BB724F">
      <w:pPr>
        <w:pStyle w:val="ListBullet2"/>
      </w:pPr>
      <w:r w:rsidRPr="00BB724F">
        <w:t>work procedures, including advice on safe work practices, food safety and environmental requirements</w:t>
      </w:r>
    </w:p>
    <w:p w:rsidR="00000000" w:rsidRPr="00BB724F" w:rsidP="00BB724F">
      <w:pPr>
        <w:pStyle w:val="ListBullet2"/>
      </w:pPr>
      <w:r w:rsidRPr="00BB724F">
        <w:t>recording requirements.</w:t>
      </w:r>
    </w:p>
    <w:p w:rsidR="00000000" w:rsidRPr="00BB724F" w:rsidP="00E37653">
      <w:pPr>
        <w:pStyle w:val="BodyText"/>
      </w:pPr>
      <w:r w:rsidRPr="00BB724F">
        <w:t>Assessors of this unit must satisfy the requirements for assessors in applicable vocational education and training legislation, fra</w:t>
      </w:r>
      <w:r w:rsidRPr="00BB724F">
        <w:t>meworks and/or standards.</w:t>
      </w:r>
    </w:p>
    <w:p w:rsidR="00000000" w:rsidRPr="00BB724F" w:rsidP="00BB724F">
      <w:pPr>
        <w:pStyle w:val="Heading1"/>
      </w:pPr>
      <w:bookmarkStart w:id="5" w:name="O_1187792"/>
      <w:bookmarkEnd w:id="5"/>
      <w:r w:rsidRPr="00BB724F">
        <w:t>Links</w:t>
      </w:r>
    </w:p>
    <w:p w:rsidR="00000000" w:rsidRPr="00BB724F" w:rsidP="00E37653">
      <w:pPr>
        <w:pStyle w:val="BodyText"/>
      </w:pPr>
      <w:r w:rsidRPr="00BB72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66C3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724F" w:rsidP="00BB724F"/>
    <w:sectPr w:rsidSect="00BB72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4F" w:rsidRPr="00E37653" w:rsidP="00E37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53" w:rsidP="00BB7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653" w:rsidP="00BB7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7653" w:rsidP="00BB7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24F" w:rsidRPr="00E37653" w:rsidP="00E37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53" w:rsidRPr="002D2AF8" w:rsidP="00BB7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FBPGRA3020 Blend and dispatch malt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37653" w:rsidP="00BB7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C9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08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120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24F"/>
  </w:style>
  <w:style w:type="character" w:customStyle="1" w:styleId="Heading1Char">
    <w:name w:val="Heading 1 Char"/>
    <w:basedOn w:val="DefaultParagraphFont"/>
    <w:link w:val="Heading1"/>
    <w:rsid w:val="00BB7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2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2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72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724F"/>
    <w:rPr>
      <w:b/>
    </w:rPr>
  </w:style>
  <w:style w:type="character" w:customStyle="1" w:styleId="Heading2Char">
    <w:name w:val="Heading 2 Char"/>
    <w:basedOn w:val="DefaultParagraphFont"/>
    <w:link w:val="Heading2"/>
    <w:rsid w:val="00BB7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2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24F"/>
    <w:rPr>
      <w:b/>
      <w:spacing w:val="0"/>
    </w:rPr>
  </w:style>
  <w:style w:type="paragraph" w:customStyle="1" w:styleId="SuperTitle">
    <w:name w:val="SuperTitle"/>
    <w:basedOn w:val="Title"/>
    <w:rsid w:val="00BB7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2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24F"/>
    <w:rPr>
      <w:i/>
    </w:rPr>
  </w:style>
  <w:style w:type="paragraph" w:styleId="Caption">
    <w:name w:val="caption"/>
    <w:basedOn w:val="BodyText"/>
    <w:next w:val="Normal"/>
    <w:qFormat/>
    <w:rsid w:val="00BB7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24F"/>
  </w:style>
  <w:style w:type="paragraph" w:styleId="TableofFigures">
    <w:name w:val="table of figures"/>
    <w:basedOn w:val="Normal"/>
    <w:next w:val="Normal"/>
    <w:semiHidden/>
    <w:rsid w:val="00BB7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2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24F"/>
    <w:rPr>
      <w:rFonts w:ascii="Wingdings" w:hAnsi="Wingdings"/>
    </w:rPr>
  </w:style>
  <w:style w:type="paragraph" w:customStyle="1" w:styleId="TableHeading">
    <w:name w:val="Table Heading"/>
    <w:basedOn w:val="HeadingBase"/>
    <w:rsid w:val="00BB7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24F"/>
    <w:rPr>
      <w:color w:val="0033CC"/>
      <w:u w:val="none"/>
    </w:rPr>
  </w:style>
  <w:style w:type="paragraph" w:customStyle="1" w:styleId="BodyTextRight">
    <w:name w:val="Body Text Right"/>
    <w:basedOn w:val="BodyText"/>
    <w:rsid w:val="00BB7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2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24F"/>
    <w:rPr>
      <w:sz w:val="32"/>
    </w:rPr>
  </w:style>
  <w:style w:type="paragraph" w:customStyle="1" w:styleId="HeadingProcedure">
    <w:name w:val="Heading Procedure"/>
    <w:basedOn w:val="HeadingBase"/>
    <w:next w:val="Normal"/>
    <w:rsid w:val="00BB7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24F"/>
    <w:pPr>
      <w:spacing w:before="60" w:after="60"/>
    </w:pPr>
  </w:style>
  <w:style w:type="paragraph" w:styleId="ListContinue">
    <w:name w:val="List Continue"/>
    <w:basedOn w:val="List"/>
    <w:rsid w:val="00BB724F"/>
    <w:pPr>
      <w:ind w:firstLine="0"/>
    </w:pPr>
  </w:style>
  <w:style w:type="paragraph" w:customStyle="1" w:styleId="ListNote">
    <w:name w:val="List Note"/>
    <w:basedOn w:val="List"/>
    <w:rsid w:val="00BB7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24F"/>
    <w:rPr>
      <w:rFonts w:ascii="Courier New" w:hAnsi="Courier New"/>
    </w:rPr>
  </w:style>
  <w:style w:type="paragraph" w:customStyle="1" w:styleId="NoteBullet">
    <w:name w:val="Note Bullet"/>
    <w:basedOn w:val="Note"/>
    <w:rsid w:val="00BB7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2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24F"/>
    <w:rPr>
      <w:b/>
      <w:smallCaps/>
    </w:rPr>
  </w:style>
  <w:style w:type="paragraph" w:customStyle="1" w:styleId="TableListNumber">
    <w:name w:val="Table List Number"/>
    <w:basedOn w:val="ListNumber"/>
    <w:rsid w:val="00BB7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24F"/>
    <w:pPr>
      <w:numPr>
        <w:numId w:val="9"/>
      </w:numPr>
    </w:pPr>
  </w:style>
  <w:style w:type="paragraph" w:customStyle="1" w:styleId="ListAlpha2">
    <w:name w:val="List Alpha 2"/>
    <w:basedOn w:val="List2"/>
    <w:rsid w:val="00BB724F"/>
    <w:pPr>
      <w:numPr>
        <w:numId w:val="8"/>
      </w:numPr>
    </w:pPr>
  </w:style>
  <w:style w:type="paragraph" w:styleId="List2">
    <w:name w:val="List 2"/>
    <w:basedOn w:val="BodyText"/>
    <w:rsid w:val="00BB7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2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2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24F"/>
    <w:pPr>
      <w:numPr>
        <w:numId w:val="4"/>
      </w:numPr>
    </w:pPr>
  </w:style>
  <w:style w:type="paragraph" w:styleId="ListContinue2">
    <w:name w:val="List Continue 2"/>
    <w:basedOn w:val="List2"/>
    <w:rsid w:val="00BB724F"/>
    <w:pPr>
      <w:ind w:firstLine="0"/>
    </w:pPr>
  </w:style>
  <w:style w:type="paragraph" w:styleId="ListContinue3">
    <w:name w:val="List Continue 3"/>
    <w:basedOn w:val="List3"/>
    <w:rsid w:val="00BB724F"/>
    <w:pPr>
      <w:ind w:left="1021" w:firstLine="0"/>
    </w:pPr>
  </w:style>
  <w:style w:type="paragraph" w:styleId="ListContinue4">
    <w:name w:val="List Continue 4"/>
    <w:basedOn w:val="List4"/>
    <w:rsid w:val="00BB724F"/>
    <w:pPr>
      <w:ind w:firstLine="0"/>
    </w:pPr>
  </w:style>
  <w:style w:type="paragraph" w:styleId="ListContinue5">
    <w:name w:val="List Continue 5"/>
    <w:basedOn w:val="List5"/>
    <w:rsid w:val="00BB724F"/>
    <w:pPr>
      <w:ind w:firstLine="0"/>
    </w:pPr>
  </w:style>
  <w:style w:type="paragraph" w:styleId="ListNumber3">
    <w:name w:val="List Number 3"/>
    <w:basedOn w:val="List3"/>
    <w:rsid w:val="00BB724F"/>
    <w:pPr>
      <w:numPr>
        <w:numId w:val="5"/>
      </w:numPr>
    </w:pPr>
  </w:style>
  <w:style w:type="paragraph" w:styleId="ListNumber4">
    <w:name w:val="List Number 4"/>
    <w:basedOn w:val="List4"/>
    <w:rsid w:val="00BB724F"/>
    <w:pPr>
      <w:numPr>
        <w:numId w:val="6"/>
      </w:numPr>
    </w:pPr>
  </w:style>
  <w:style w:type="paragraph" w:styleId="ListNumber5">
    <w:name w:val="List Number 5"/>
    <w:basedOn w:val="List5"/>
    <w:rsid w:val="00BB724F"/>
    <w:pPr>
      <w:numPr>
        <w:numId w:val="7"/>
      </w:numPr>
    </w:pPr>
  </w:style>
  <w:style w:type="paragraph" w:styleId="BlockText">
    <w:name w:val="Block Text"/>
    <w:basedOn w:val="Normal"/>
    <w:rsid w:val="00BB7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24F"/>
    <w:rPr>
      <w:sz w:val="16"/>
      <w:vertAlign w:val="superscript"/>
    </w:rPr>
  </w:style>
  <w:style w:type="character" w:customStyle="1" w:styleId="Symbols">
    <w:name w:val="Symbols"/>
    <w:basedOn w:val="DefaultParagraphFont"/>
    <w:rsid w:val="00BB724F"/>
    <w:rPr>
      <w:rFonts w:ascii="Symbol" w:hAnsi="Symbol"/>
    </w:rPr>
  </w:style>
  <w:style w:type="character" w:customStyle="1" w:styleId="MenuOptions">
    <w:name w:val="Menu Options"/>
    <w:basedOn w:val="DefaultParagraphFont"/>
    <w:rsid w:val="00BB7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24F"/>
    <w:rPr>
      <w:b/>
    </w:rPr>
  </w:style>
  <w:style w:type="character" w:customStyle="1" w:styleId="Underlined">
    <w:name w:val="Underlined"/>
    <w:basedOn w:val="DefaultParagraphFont"/>
    <w:rsid w:val="00BB724F"/>
    <w:rPr>
      <w:u w:val="single"/>
    </w:rPr>
  </w:style>
  <w:style w:type="paragraph" w:customStyle="1" w:styleId="TableBodyTextRight">
    <w:name w:val="Table Body Text Right"/>
    <w:basedOn w:val="TableBodyText"/>
    <w:rsid w:val="00BB7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24F"/>
    <w:rPr>
      <w:sz w:val="18"/>
    </w:rPr>
  </w:style>
  <w:style w:type="paragraph" w:customStyle="1" w:styleId="BodySmallRight">
    <w:name w:val="Body Small Right"/>
    <w:basedOn w:val="BodyTextRight"/>
    <w:rsid w:val="00BB724F"/>
    <w:rPr>
      <w:sz w:val="18"/>
      <w:szCs w:val="18"/>
    </w:rPr>
  </w:style>
  <w:style w:type="paragraph" w:customStyle="1" w:styleId="MarginEdition">
    <w:name w:val="Margin Edition"/>
    <w:basedOn w:val="MarginNote"/>
    <w:rsid w:val="00BB7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24F"/>
    <w:rPr>
      <w:sz w:val="2"/>
      <w:szCs w:val="2"/>
    </w:rPr>
  </w:style>
  <w:style w:type="character" w:customStyle="1" w:styleId="Small">
    <w:name w:val="Small"/>
    <w:basedOn w:val="DefaultParagraphFont"/>
    <w:rsid w:val="00BB724F"/>
    <w:rPr>
      <w:sz w:val="16"/>
    </w:rPr>
  </w:style>
  <w:style w:type="paragraph" w:customStyle="1" w:styleId="WideTable">
    <w:name w:val="Wide Table"/>
    <w:basedOn w:val="Normal"/>
    <w:rsid w:val="00BB7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24F"/>
  </w:style>
  <w:style w:type="paragraph" w:styleId="Quote">
    <w:name w:val="Quote"/>
    <w:basedOn w:val="Heading1"/>
    <w:link w:val="QuoteChar"/>
    <w:qFormat/>
    <w:rsid w:val="00BB7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24F"/>
    <w:pPr>
      <w:pageBreakBefore/>
    </w:pPr>
  </w:style>
  <w:style w:type="paragraph" w:customStyle="1" w:styleId="Border">
    <w:name w:val="Border"/>
    <w:basedOn w:val="Normal"/>
    <w:qFormat/>
    <w:rsid w:val="00BB7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24F"/>
    <w:rPr>
      <w:u w:val="single"/>
    </w:rPr>
  </w:style>
  <w:style w:type="character" w:customStyle="1" w:styleId="BoldandItalics">
    <w:name w:val="Bold and Italics"/>
    <w:qFormat/>
    <w:rsid w:val="00BB724F"/>
    <w:rPr>
      <w:b/>
      <w:i/>
      <w:u w:val="none"/>
    </w:rPr>
  </w:style>
  <w:style w:type="paragraph" w:styleId="BalloonText">
    <w:name w:val="Balloon Text"/>
    <w:basedOn w:val="Normal"/>
    <w:link w:val="BalloonTextChar"/>
    <w:rsid w:val="00BB7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2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7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2925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FBPGRA3020 Blend and dispatch malt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2022-04-19T18:17:00Z</dcterms:created>
  <dcterms:modified xsi:type="dcterms:W3CDTF">2022-04-19T18:17:00Z</dcterms:modified>
</cp:coreProperties>
</file>