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E19" w:rsidP="001C7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FBPGPS2004 Operate a flake preparation process</w:t>
      </w:r>
      <w:r>
        <w:fldChar w:fldCharType="end"/>
      </w:r>
    </w:p>
    <w:p w:rsidR="001C7E19" w:rsidP="001C7E19">
      <w:pPr>
        <w:pStyle w:val="Version"/>
        <w:sectPr w:rsidSect="003D1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BB1" w:rsidP="003D1BB1">
      <w:pPr>
        <w:pStyle w:val="SuperHeading"/>
      </w:pPr>
      <w:r w:rsidRPr="003D1BB1">
        <w:t>FBPGPS2004 Operate a flake preparation process</w:t>
      </w:r>
    </w:p>
    <w:p w:rsidR="00000000" w:rsidRPr="003D1BB1" w:rsidP="003D1BB1">
      <w:pPr>
        <w:pStyle w:val="Heading1"/>
      </w:pPr>
      <w:bookmarkStart w:id="1" w:name="O_970496"/>
      <w:bookmarkEnd w:id="1"/>
      <w:r w:rsidRPr="003D1B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rPr>
                <w:rStyle w:val="SpecialBold"/>
              </w:rPr>
              <w:t>Comments</w:t>
            </w:r>
          </w:p>
        </w:tc>
      </w:tr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t>This version released with FBP Food, Beverage and Pharmaceutical Training Package version 1.0.</w:t>
            </w:r>
          </w:p>
        </w:tc>
      </w:tr>
    </w:tbl>
    <w:p w:rsidR="001C7E19" w:rsidP="003D1BB1">
      <w:pPr>
        <w:pStyle w:val="BodyText"/>
      </w:pPr>
    </w:p>
    <w:p w:rsidR="001C7E19" w:rsidP="003D1BB1">
      <w:pPr>
        <w:pStyle w:val="BodyText"/>
      </w:pPr>
    </w:p>
    <w:p w:rsidR="00000000" w:rsidRPr="003D1BB1" w:rsidP="003D1BB1">
      <w:pPr>
        <w:pStyle w:val="Heading1"/>
      </w:pPr>
      <w:bookmarkStart w:id="2" w:name="O_970497"/>
      <w:bookmarkEnd w:id="2"/>
      <w:r w:rsidRPr="003D1BB1">
        <w:t>Application</w:t>
      </w:r>
    </w:p>
    <w:p w:rsidR="00000000" w:rsidRPr="003D1BB1" w:rsidP="001C7E19">
      <w:pPr>
        <w:pStyle w:val="BodyText"/>
      </w:pPr>
      <w:r w:rsidRPr="003D1BB1">
        <w:t>This unit of competency describes the skills and knowledge required to p</w:t>
      </w:r>
      <w:r w:rsidRPr="003D1BB1">
        <w:t>repare the oil and water phases and set up, operate, adjust and shut down the flaking process to prepare pastry margarine for further processing through a complector.</w:t>
      </w:r>
    </w:p>
    <w:p w:rsidR="00000000" w:rsidRPr="003D1BB1" w:rsidP="001C7E19">
      <w:pPr>
        <w:pStyle w:val="BodyText"/>
      </w:pPr>
      <w:r w:rsidRPr="003D1BB1">
        <w:t>This unit applies to individuals who apply basic operating principles to the operation an</w:t>
      </w:r>
      <w:r w:rsidRPr="003D1BB1">
        <w:t>d monitoring of flake preparation equipment and processes in an edible oils production environment.</w:t>
      </w:r>
    </w:p>
    <w:p w:rsidR="00000000" w:rsidRPr="003D1BB1" w:rsidP="001C7E19">
      <w:pPr>
        <w:pStyle w:val="BodyText"/>
      </w:pPr>
      <w:r w:rsidRPr="003D1BB1">
        <w:t>All work must be carried out to comply with workplace procedures, in accordance with State/Territory work health and safety, and food safety regulations, le</w:t>
      </w:r>
      <w:r w:rsidRPr="003D1BB1">
        <w:t>gislation and standards that apply to the workplace.</w:t>
      </w:r>
    </w:p>
    <w:p w:rsidR="00000000" w:rsidRPr="003D1BB1" w:rsidP="001C7E19">
      <w:pPr>
        <w:pStyle w:val="BodyText"/>
      </w:pPr>
      <w:r w:rsidRPr="003D1BB1">
        <w:t>No occupational licensing, legislative or certification requirements apply to this unit at the time of publication.</w:t>
      </w:r>
    </w:p>
    <w:p w:rsidR="00000000" w:rsidRPr="003D1BB1" w:rsidP="003D1BB1">
      <w:pPr>
        <w:pStyle w:val="Heading1"/>
      </w:pPr>
      <w:bookmarkStart w:id="3" w:name="O_970498"/>
      <w:bookmarkEnd w:id="3"/>
      <w:r w:rsidRPr="003D1BB1">
        <w:t>Pre-requisite Unit</w:t>
      </w:r>
    </w:p>
    <w:p w:rsidR="00000000" w:rsidRPr="003D1BB1" w:rsidP="001C7E19">
      <w:pPr>
        <w:pStyle w:val="BodyText"/>
      </w:pPr>
      <w:r w:rsidRPr="003D1BB1">
        <w:t>Nil</w:t>
      </w:r>
    </w:p>
    <w:p w:rsidR="00000000" w:rsidRPr="003D1BB1" w:rsidP="003D1BB1">
      <w:pPr>
        <w:pStyle w:val="Heading1"/>
      </w:pPr>
      <w:bookmarkStart w:id="4" w:name="O_970500"/>
      <w:bookmarkEnd w:id="4"/>
      <w:r w:rsidRPr="003D1BB1">
        <w:t>Unit Sector</w:t>
      </w:r>
    </w:p>
    <w:p w:rsidR="00000000" w:rsidRPr="003D1BB1" w:rsidP="001C7E19">
      <w:pPr>
        <w:pStyle w:val="BodyText"/>
      </w:pPr>
      <w:r w:rsidRPr="003D1BB1">
        <w:t>Grocery and produc</w:t>
      </w:r>
      <w:r w:rsidRPr="003D1BB1">
        <w:t>t supplies (GPS)</w:t>
      </w:r>
    </w:p>
    <w:p w:rsidR="00000000" w:rsidRPr="003D1BB1" w:rsidP="003D1BB1">
      <w:pPr>
        <w:pStyle w:val="Heading1"/>
      </w:pPr>
      <w:bookmarkStart w:id="5" w:name="O_970501"/>
      <w:bookmarkEnd w:id="5"/>
      <w:r w:rsidRPr="003D1B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7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rPr>
                <w:rStyle w:val="SpecialBold"/>
              </w:rPr>
              <w:t>Performance Criteria</w:t>
            </w:r>
          </w:p>
        </w:tc>
      </w:tr>
      <w:tr w:rsidTr="001C7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7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 xml:space="preserve">1. Prepare the flake preparation and related </w:t>
            </w:r>
            <w:r w:rsidRPr="003D1BB1">
              <w:t>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t>1.1 Ensure oil stock and emulsion are available to meet production requirements</w:t>
            </w:r>
          </w:p>
          <w:p w:rsidR="00000000" w:rsidRPr="003D1BB1" w:rsidP="003D1BB1">
            <w:pPr>
              <w:pStyle w:val="BodyText"/>
            </w:pPr>
            <w:r w:rsidRPr="003D1BB1">
              <w:t>1.2 Identify and confirm cleaning and maintenance requirements have been met</w:t>
            </w:r>
          </w:p>
          <w:p w:rsidR="00000000" w:rsidRPr="003D1BB1" w:rsidP="003D1BB1">
            <w:pPr>
              <w:pStyle w:val="BodyText"/>
            </w:pPr>
            <w:r w:rsidRPr="003D1BB1">
              <w:t>1.3 Fit and adjust machine com</w:t>
            </w:r>
            <w:r w:rsidRPr="003D1BB1">
              <w:t>ponents and related attachments according to operating requirements</w:t>
            </w:r>
          </w:p>
          <w:p w:rsidR="00000000" w:rsidRPr="003D1BB1" w:rsidP="003D1BB1">
            <w:pPr>
              <w:pStyle w:val="BodyText"/>
            </w:pPr>
            <w:r w:rsidRPr="003D1BB1">
              <w:t>1.4 Enter processing or operating parameters to meet safety and production requirements</w:t>
            </w:r>
          </w:p>
          <w:p w:rsidR="00000000" w:rsidRPr="003D1BB1" w:rsidP="003D1BB1">
            <w:pPr>
              <w:pStyle w:val="BodyText"/>
            </w:pPr>
            <w:r w:rsidRPr="003D1BB1">
              <w:t>1.5 Check and adjust equipment performance to ensure optimum performance</w:t>
            </w:r>
          </w:p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1.6 Conduct pre-start checks according to operator instructions</w:t>
            </w:r>
          </w:p>
        </w:tc>
      </w:tr>
      <w:tr w:rsidTr="001C7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2. Operate and monitor the flake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t>2.1 Start up and operate the flake preparation process according to work health and safety and operating procedures</w:t>
            </w:r>
          </w:p>
          <w:p w:rsidR="00000000" w:rsidRPr="003D1BB1" w:rsidP="003D1BB1">
            <w:pPr>
              <w:pStyle w:val="BodyText"/>
            </w:pPr>
            <w:r w:rsidRPr="003D1BB1">
              <w:t xml:space="preserve">2.2 Monitor equipment </w:t>
            </w:r>
            <w:r w:rsidRPr="003D1BB1">
              <w:t>to identify variation in operating conditions</w:t>
            </w:r>
          </w:p>
          <w:p w:rsidR="00000000" w:rsidRPr="003D1BB1" w:rsidP="003D1BB1">
            <w:pPr>
              <w:pStyle w:val="BodyText"/>
            </w:pPr>
            <w:r w:rsidRPr="003D1BB1">
              <w:t>2.3 Identify variation in equipment operation and report maintenance requirements</w:t>
            </w:r>
          </w:p>
          <w:p w:rsidR="00000000" w:rsidRPr="003D1BB1" w:rsidP="003D1BB1">
            <w:pPr>
              <w:pStyle w:val="BodyText"/>
            </w:pPr>
            <w:r w:rsidRPr="003D1BB1">
              <w:t>2.4 Confirm that specifications are met at each stage according to production specifications</w:t>
            </w:r>
          </w:p>
          <w:p w:rsidR="00000000" w:rsidRPr="003D1BB1" w:rsidP="003D1BB1">
            <w:pPr>
              <w:pStyle w:val="BodyText"/>
            </w:pPr>
            <w:r w:rsidRPr="003D1BB1">
              <w:t>2.5 Identify, rectify or report out</w:t>
            </w:r>
            <w:r w:rsidRPr="003D1BB1">
              <w:t>-of-specification product or process outcomes according to workplace procedures</w:t>
            </w:r>
          </w:p>
          <w:p w:rsidR="00000000" w:rsidRPr="003D1BB1" w:rsidP="003D1BB1">
            <w:pPr>
              <w:pStyle w:val="BodyText"/>
            </w:pPr>
            <w:r w:rsidRPr="003D1BB1">
              <w:t>2.6 Maintain the work area according to workplace guidelines</w:t>
            </w:r>
          </w:p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2.7 Enter workplace records in required format</w:t>
            </w:r>
          </w:p>
        </w:tc>
      </w:tr>
      <w:tr w:rsidTr="001C7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3. Shut down the flake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t>3.1 Identify the appropr</w:t>
            </w:r>
            <w:r w:rsidRPr="003D1BB1">
              <w:t>iate shutdown procedure</w:t>
            </w:r>
          </w:p>
          <w:p w:rsidR="00000000" w:rsidRPr="003D1BB1" w:rsidP="003D1BB1">
            <w:pPr>
              <w:pStyle w:val="BodyText"/>
            </w:pPr>
            <w:r w:rsidRPr="003D1BB1">
              <w:t>3.2 Shut down the process safely according to operating procedures</w:t>
            </w:r>
          </w:p>
          <w:p w:rsidR="00000000" w:rsidRPr="003D1BB1" w:rsidP="003D1BB1">
            <w:pPr>
              <w:pStyle w:val="BodyText"/>
            </w:pPr>
            <w:r w:rsidRPr="003D1BB1">
              <w:t>3.3 Identify and report maintenance requirements</w:t>
            </w:r>
          </w:p>
        </w:tc>
      </w:tr>
    </w:tbl>
    <w:p w:rsidR="00000000" w:rsidRPr="003D1BB1" w:rsidP="003D1BB1">
      <w:pPr>
        <w:pStyle w:val="BodyText"/>
      </w:pPr>
    </w:p>
    <w:p w:rsidR="00000000" w:rsidRPr="003D1BB1" w:rsidP="003D1BB1">
      <w:pPr>
        <w:pStyle w:val="AllowPageBreak"/>
      </w:pPr>
    </w:p>
    <w:p w:rsidR="00000000" w:rsidRPr="003D1BB1" w:rsidP="003D1BB1">
      <w:pPr>
        <w:pStyle w:val="Heading1"/>
      </w:pPr>
      <w:bookmarkStart w:id="6" w:name="O_970502"/>
      <w:bookmarkEnd w:id="6"/>
      <w:r w:rsidRPr="003D1BB1">
        <w:t>Foundation Skills</w:t>
      </w:r>
    </w:p>
    <w:p w:rsidR="00000000" w:rsidRPr="001C7E19" w:rsidP="001C7E19">
      <w:pPr>
        <w:pStyle w:val="BodyText"/>
        <w:rPr>
          <w:i/>
        </w:rPr>
      </w:pPr>
      <w:r w:rsidRPr="001C7E19">
        <w:rPr>
          <w:rStyle w:val="Emphasis"/>
        </w:rPr>
        <w:t>This section describes those language, literacy, numeracy and employment skills</w:t>
      </w:r>
      <w:r w:rsidRPr="001C7E19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rPr>
                <w:rStyle w:val="SpecialBold"/>
              </w:rPr>
              <w:t>Description</w:t>
            </w:r>
          </w:p>
        </w:tc>
      </w:tr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ListBullet"/>
              <w:rPr>
                <w:lang w:val="en-NZ"/>
              </w:rPr>
            </w:pPr>
            <w:r w:rsidRPr="003D1BB1">
              <w:t>Read and interpret standard operating procedures for the flake preparation process</w:t>
            </w:r>
          </w:p>
        </w:tc>
      </w:tr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ListBullet"/>
              <w:rPr>
                <w:lang w:val="en-NZ"/>
              </w:rPr>
            </w:pPr>
            <w:r w:rsidRPr="003D1BB1">
              <w:t>Complete records according to workplace guidelines on paper-based and electronic media</w:t>
            </w:r>
          </w:p>
        </w:tc>
      </w:tr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ListBullet"/>
              <w:rPr>
                <w:lang w:val="en-NZ"/>
              </w:rPr>
            </w:pPr>
            <w:r w:rsidRPr="003D1BB1">
              <w:t>Monitor control points for flake and emulsion temperature, drum speed, flake thickness, and moisture and salt levels</w:t>
            </w:r>
          </w:p>
        </w:tc>
      </w:tr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ListBullet"/>
            </w:pPr>
            <w:r w:rsidRPr="003D1BB1">
              <w:t>Apply workplace procedures to own role and responsibilities</w:t>
            </w:r>
          </w:p>
          <w:p w:rsidR="00000000" w:rsidRPr="003D1BB1" w:rsidP="003D1BB1">
            <w:pPr>
              <w:pStyle w:val="ListBullet"/>
            </w:pPr>
            <w:r w:rsidRPr="003D1BB1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3D1BB1" w:rsidP="003D1BB1">
            <w:pPr>
              <w:pStyle w:val="ListBullet"/>
            </w:pPr>
            <w:r w:rsidRPr="003D1BB1">
              <w:t>Maintain</w:t>
            </w:r>
            <w:r w:rsidRPr="003D1BB1">
              <w:t xml:space="preserve"> a clean and hazard-free work area</w:t>
            </w:r>
          </w:p>
          <w:p w:rsidR="00000000" w:rsidP="003D1BB1">
            <w:pPr>
              <w:pStyle w:val="ListBullet"/>
              <w:rPr>
                <w:lang w:val="en-NZ"/>
              </w:rPr>
            </w:pPr>
            <w:r w:rsidRPr="003D1BB1">
              <w:t>Maintain hygiene standards</w:t>
            </w:r>
          </w:p>
        </w:tc>
      </w:tr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ListBullet"/>
              <w:rPr>
                <w:lang w:val="en-NZ"/>
              </w:rPr>
            </w:pPr>
            <w:r w:rsidRPr="003D1BB1">
              <w:t>Report operational and safety information to relevant personnel using required communication method</w:t>
            </w:r>
          </w:p>
        </w:tc>
      </w:tr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ListBullet"/>
            </w:pPr>
            <w:r w:rsidRPr="003D1BB1">
              <w:t>Solve routine problems according to workplace guide</w:t>
            </w:r>
            <w:r w:rsidRPr="003D1BB1">
              <w:t>lines and using experience of past solutions</w:t>
            </w:r>
          </w:p>
        </w:tc>
      </w:tr>
    </w:tbl>
    <w:p w:rsidR="00000000" w:rsidRPr="003D1BB1" w:rsidP="003D1BB1">
      <w:pPr>
        <w:pStyle w:val="BodyText"/>
      </w:pPr>
    </w:p>
    <w:p w:rsidR="00000000" w:rsidRPr="003D1BB1" w:rsidP="003D1BB1">
      <w:pPr>
        <w:pStyle w:val="AllowPageBreak"/>
      </w:pPr>
    </w:p>
    <w:p w:rsidR="00000000" w:rsidRPr="003D1BB1" w:rsidP="003D1BB1">
      <w:pPr>
        <w:pStyle w:val="Heading1"/>
      </w:pPr>
      <w:bookmarkStart w:id="7" w:name="O_970504"/>
      <w:bookmarkEnd w:id="7"/>
      <w:r w:rsidRPr="003D1B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rPr>
                <w:rStyle w:val="SpecialBold"/>
              </w:rPr>
              <w:t>Equivalence status</w:t>
            </w:r>
          </w:p>
        </w:tc>
      </w:tr>
      <w:tr w:rsidTr="003D1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FBPGPS2004 Operate a flake preparation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FDFGPS2004A Operate a flake preparation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B1">
            <w:pPr>
              <w:pStyle w:val="BodyText"/>
              <w:rPr>
                <w:lang w:val="en-NZ"/>
              </w:rPr>
            </w:pPr>
            <w:r w:rsidRPr="003D1BB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B1" w:rsidP="003D1BB1">
            <w:pPr>
              <w:pStyle w:val="BodyText"/>
            </w:pPr>
            <w:r w:rsidRPr="003D1BB1">
              <w:t>Equivalent unit</w:t>
            </w:r>
          </w:p>
        </w:tc>
      </w:tr>
    </w:tbl>
    <w:p w:rsidR="00000000" w:rsidRPr="003D1BB1" w:rsidP="003D1BB1">
      <w:pPr>
        <w:pStyle w:val="BodyText"/>
      </w:pPr>
    </w:p>
    <w:p w:rsidR="00000000" w:rsidRPr="003D1BB1" w:rsidP="003D1BB1">
      <w:pPr>
        <w:pStyle w:val="AllowPageBreak"/>
      </w:pPr>
    </w:p>
    <w:p w:rsidR="00000000" w:rsidRPr="003D1BB1" w:rsidP="003D1BB1">
      <w:pPr>
        <w:pStyle w:val="Heading1"/>
      </w:pPr>
      <w:bookmarkStart w:id="8" w:name="O_970511"/>
      <w:bookmarkEnd w:id="8"/>
      <w:r w:rsidRPr="003D1BB1">
        <w:t>Links</w:t>
      </w:r>
    </w:p>
    <w:p w:rsidR="00000000" w:rsidRPr="003D1BB1" w:rsidP="001C7E19">
      <w:pPr>
        <w:pStyle w:val="BodyText"/>
      </w:pPr>
      <w:r w:rsidRPr="003D1B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15E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1BB1" w:rsidP="003D1BB1"/>
    <w:sectPr w:rsidSect="003D1B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B1" w:rsidRPr="001C7E19" w:rsidP="001C7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19" w:rsidP="003D1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E19" w:rsidP="003D1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7E19" w:rsidP="003D1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BB1" w:rsidRPr="001C7E19" w:rsidP="001C7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19" w:rsidRPr="002D2AF8" w:rsidP="003D1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FBPGPS2004 Operate a flake preparation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C7E19" w:rsidP="003D1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682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E89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BB1"/>
  </w:style>
  <w:style w:type="character" w:customStyle="1" w:styleId="Heading1Char">
    <w:name w:val="Heading 1 Char"/>
    <w:basedOn w:val="DefaultParagraphFont"/>
    <w:link w:val="Heading1"/>
    <w:rsid w:val="003D1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B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B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BB1"/>
    <w:rPr>
      <w:b/>
      <w:spacing w:val="0"/>
    </w:rPr>
  </w:style>
  <w:style w:type="character" w:styleId="Emphasis">
    <w:name w:val="Emphasis"/>
    <w:basedOn w:val="DefaultParagraphFont"/>
    <w:qFormat/>
    <w:rsid w:val="003D1BB1"/>
    <w:rPr>
      <w:i/>
    </w:rPr>
  </w:style>
  <w:style w:type="paragraph" w:customStyle="1" w:styleId="SuperHeading">
    <w:name w:val="SuperHeading"/>
    <w:basedOn w:val="Normal"/>
    <w:rsid w:val="003D1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B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B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B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B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BB1"/>
  </w:style>
  <w:style w:type="paragraph" w:styleId="TableofFigures">
    <w:name w:val="table of figures"/>
    <w:basedOn w:val="Normal"/>
    <w:next w:val="Normal"/>
    <w:semiHidden/>
    <w:rsid w:val="003D1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B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BB1"/>
    <w:rPr>
      <w:rFonts w:ascii="Wingdings" w:hAnsi="Wingdings"/>
    </w:rPr>
  </w:style>
  <w:style w:type="paragraph" w:customStyle="1" w:styleId="TableHeading">
    <w:name w:val="Table Heading"/>
    <w:basedOn w:val="HeadingBase"/>
    <w:rsid w:val="003D1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BB1"/>
    <w:rPr>
      <w:color w:val="0033CC"/>
      <w:u w:val="none"/>
    </w:rPr>
  </w:style>
  <w:style w:type="paragraph" w:customStyle="1" w:styleId="BodyTextRight">
    <w:name w:val="Body Text Right"/>
    <w:basedOn w:val="BodyText"/>
    <w:rsid w:val="003D1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B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BB1"/>
    <w:rPr>
      <w:sz w:val="32"/>
    </w:rPr>
  </w:style>
  <w:style w:type="paragraph" w:customStyle="1" w:styleId="HeadingProcedure">
    <w:name w:val="Heading Procedure"/>
    <w:basedOn w:val="HeadingBase"/>
    <w:next w:val="Normal"/>
    <w:rsid w:val="003D1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BB1"/>
    <w:pPr>
      <w:spacing w:before="60" w:after="60"/>
    </w:pPr>
  </w:style>
  <w:style w:type="paragraph" w:styleId="ListContinue">
    <w:name w:val="List Continue"/>
    <w:basedOn w:val="List"/>
    <w:rsid w:val="003D1BB1"/>
    <w:pPr>
      <w:ind w:firstLine="0"/>
    </w:pPr>
  </w:style>
  <w:style w:type="paragraph" w:customStyle="1" w:styleId="ListNote">
    <w:name w:val="List Note"/>
    <w:basedOn w:val="List"/>
    <w:rsid w:val="003D1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BB1"/>
    <w:rPr>
      <w:rFonts w:ascii="Courier New" w:hAnsi="Courier New"/>
    </w:rPr>
  </w:style>
  <w:style w:type="paragraph" w:customStyle="1" w:styleId="NoteBullet">
    <w:name w:val="Note Bullet"/>
    <w:basedOn w:val="Note"/>
    <w:rsid w:val="003D1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B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BB1"/>
    <w:rPr>
      <w:b/>
      <w:smallCaps/>
    </w:rPr>
  </w:style>
  <w:style w:type="paragraph" w:customStyle="1" w:styleId="TableListNumber">
    <w:name w:val="Table List Number"/>
    <w:basedOn w:val="ListNumber"/>
    <w:rsid w:val="003D1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BB1"/>
    <w:pPr>
      <w:numPr>
        <w:numId w:val="8"/>
      </w:numPr>
    </w:pPr>
  </w:style>
  <w:style w:type="paragraph" w:customStyle="1" w:styleId="ListAlpha2">
    <w:name w:val="List Alpha 2"/>
    <w:basedOn w:val="List2"/>
    <w:rsid w:val="003D1BB1"/>
    <w:pPr>
      <w:numPr>
        <w:numId w:val="7"/>
      </w:numPr>
    </w:pPr>
  </w:style>
  <w:style w:type="paragraph" w:styleId="List2">
    <w:name w:val="List 2"/>
    <w:basedOn w:val="BodyText"/>
    <w:rsid w:val="003D1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B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B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B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BB1"/>
    <w:pPr>
      <w:numPr>
        <w:numId w:val="3"/>
      </w:numPr>
    </w:pPr>
  </w:style>
  <w:style w:type="paragraph" w:styleId="ListContinue2">
    <w:name w:val="List Continue 2"/>
    <w:basedOn w:val="List2"/>
    <w:rsid w:val="003D1BB1"/>
    <w:pPr>
      <w:ind w:firstLine="0"/>
    </w:pPr>
  </w:style>
  <w:style w:type="paragraph" w:styleId="ListContinue3">
    <w:name w:val="List Continue 3"/>
    <w:basedOn w:val="List3"/>
    <w:rsid w:val="003D1BB1"/>
    <w:pPr>
      <w:ind w:left="1021" w:firstLine="0"/>
    </w:pPr>
  </w:style>
  <w:style w:type="paragraph" w:styleId="ListContinue4">
    <w:name w:val="List Continue 4"/>
    <w:basedOn w:val="List4"/>
    <w:rsid w:val="003D1BB1"/>
    <w:pPr>
      <w:ind w:firstLine="0"/>
    </w:pPr>
  </w:style>
  <w:style w:type="paragraph" w:styleId="ListContinue5">
    <w:name w:val="List Continue 5"/>
    <w:basedOn w:val="List5"/>
    <w:rsid w:val="003D1BB1"/>
    <w:pPr>
      <w:ind w:firstLine="0"/>
    </w:pPr>
  </w:style>
  <w:style w:type="paragraph" w:styleId="ListNumber3">
    <w:name w:val="List Number 3"/>
    <w:basedOn w:val="List3"/>
    <w:rsid w:val="003D1BB1"/>
    <w:pPr>
      <w:numPr>
        <w:numId w:val="4"/>
      </w:numPr>
    </w:pPr>
  </w:style>
  <w:style w:type="paragraph" w:styleId="ListNumber4">
    <w:name w:val="List Number 4"/>
    <w:basedOn w:val="List4"/>
    <w:rsid w:val="003D1BB1"/>
    <w:pPr>
      <w:numPr>
        <w:numId w:val="5"/>
      </w:numPr>
    </w:pPr>
  </w:style>
  <w:style w:type="paragraph" w:styleId="ListNumber5">
    <w:name w:val="List Number 5"/>
    <w:basedOn w:val="List5"/>
    <w:rsid w:val="003D1BB1"/>
    <w:pPr>
      <w:numPr>
        <w:numId w:val="6"/>
      </w:numPr>
    </w:pPr>
  </w:style>
  <w:style w:type="paragraph" w:styleId="BlockText">
    <w:name w:val="Block Text"/>
    <w:basedOn w:val="Normal"/>
    <w:rsid w:val="003D1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BB1"/>
    <w:rPr>
      <w:sz w:val="16"/>
      <w:vertAlign w:val="superscript"/>
    </w:rPr>
  </w:style>
  <w:style w:type="character" w:customStyle="1" w:styleId="Symbols">
    <w:name w:val="Symbols"/>
    <w:basedOn w:val="DefaultParagraphFont"/>
    <w:rsid w:val="003D1BB1"/>
    <w:rPr>
      <w:rFonts w:ascii="Symbol" w:hAnsi="Symbol"/>
    </w:rPr>
  </w:style>
  <w:style w:type="character" w:customStyle="1" w:styleId="MenuOptions">
    <w:name w:val="Menu Options"/>
    <w:basedOn w:val="DefaultParagraphFont"/>
    <w:rsid w:val="003D1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BB1"/>
    <w:rPr>
      <w:b/>
    </w:rPr>
  </w:style>
  <w:style w:type="character" w:customStyle="1" w:styleId="Underlined">
    <w:name w:val="Underlined"/>
    <w:basedOn w:val="DefaultParagraphFont"/>
    <w:rsid w:val="003D1BB1"/>
    <w:rPr>
      <w:u w:val="single"/>
    </w:rPr>
  </w:style>
  <w:style w:type="paragraph" w:customStyle="1" w:styleId="TableBodyTextRight">
    <w:name w:val="Table Body Text Right"/>
    <w:basedOn w:val="TableBodyText"/>
    <w:rsid w:val="003D1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BB1"/>
    <w:rPr>
      <w:sz w:val="18"/>
    </w:rPr>
  </w:style>
  <w:style w:type="paragraph" w:customStyle="1" w:styleId="BodySmallRight">
    <w:name w:val="Body Small Right"/>
    <w:basedOn w:val="BodyTextRight"/>
    <w:rsid w:val="003D1BB1"/>
    <w:rPr>
      <w:sz w:val="18"/>
      <w:szCs w:val="18"/>
    </w:rPr>
  </w:style>
  <w:style w:type="paragraph" w:customStyle="1" w:styleId="MarginEdition">
    <w:name w:val="Margin Edition"/>
    <w:basedOn w:val="MarginNote"/>
    <w:rsid w:val="003D1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BB1"/>
    <w:rPr>
      <w:sz w:val="2"/>
      <w:szCs w:val="2"/>
    </w:rPr>
  </w:style>
  <w:style w:type="character" w:customStyle="1" w:styleId="Small">
    <w:name w:val="Small"/>
    <w:basedOn w:val="DefaultParagraphFont"/>
    <w:rsid w:val="003D1BB1"/>
    <w:rPr>
      <w:sz w:val="16"/>
    </w:rPr>
  </w:style>
  <w:style w:type="paragraph" w:customStyle="1" w:styleId="WideTable">
    <w:name w:val="Wide Table"/>
    <w:basedOn w:val="Normal"/>
    <w:rsid w:val="003D1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BB1"/>
  </w:style>
  <w:style w:type="paragraph" w:styleId="Quote">
    <w:name w:val="Quote"/>
    <w:basedOn w:val="Heading1"/>
    <w:link w:val="QuoteChar"/>
    <w:qFormat/>
    <w:rsid w:val="003D1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BB1"/>
    <w:pPr>
      <w:pageBreakBefore/>
    </w:pPr>
  </w:style>
  <w:style w:type="paragraph" w:customStyle="1" w:styleId="Border">
    <w:name w:val="Border"/>
    <w:basedOn w:val="Normal"/>
    <w:qFormat/>
    <w:rsid w:val="003D1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BB1"/>
    <w:rPr>
      <w:u w:val="single"/>
    </w:rPr>
  </w:style>
  <w:style w:type="character" w:customStyle="1" w:styleId="BoldandItalics">
    <w:name w:val="Bold and Italics"/>
    <w:qFormat/>
    <w:rsid w:val="003D1BB1"/>
    <w:rPr>
      <w:b/>
      <w:i/>
      <w:u w:val="none"/>
    </w:rPr>
  </w:style>
  <w:style w:type="paragraph" w:styleId="BalloonText">
    <w:name w:val="Balloon Text"/>
    <w:basedOn w:val="Normal"/>
    <w:link w:val="BalloonTextChar"/>
    <w:rsid w:val="003D1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BB1"/>
    <w:pPr>
      <w:spacing w:before="0" w:after="0"/>
    </w:pPr>
  </w:style>
  <w:style w:type="paragraph" w:customStyle="1" w:styleId="BodyTextBold">
    <w:name w:val="Body Text Bold"/>
    <w:basedOn w:val="BodyText"/>
    <w:qFormat/>
    <w:rsid w:val="003D1BB1"/>
    <w:rPr>
      <w:b/>
    </w:rPr>
  </w:style>
  <w:style w:type="character" w:styleId="Hyperlink">
    <w:name w:val="Hyperlink"/>
    <w:basedOn w:val="DefaultParagraphFont"/>
    <w:uiPriority w:val="99"/>
    <w:unhideWhenUsed/>
    <w:rsid w:val="001C7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3837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FBPGPS2004 Operate a flake preparation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2021-03-22T07:57:00Z</dcterms:created>
  <dcterms:modified xsi:type="dcterms:W3CDTF">2021-03-22T07:57:00Z</dcterms:modified>
</cp:coreProperties>
</file>