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03F" w:rsidP="00357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FBPFSY5004 Plan to mitigate food fraud</w:t>
      </w:r>
      <w:r>
        <w:fldChar w:fldCharType="end"/>
      </w:r>
    </w:p>
    <w:p w:rsidR="0035703F" w:rsidP="0035703F">
      <w:pPr>
        <w:pStyle w:val="Version"/>
        <w:sectPr w:rsidSect="005343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3CE" w:rsidP="005343CE">
      <w:pPr>
        <w:pStyle w:val="SuperHeading"/>
      </w:pPr>
      <w:r w:rsidRPr="005343CE">
        <w:t>FBPFSY5004 Plan to mitigate food fraud</w:t>
      </w:r>
    </w:p>
    <w:p w:rsidR="00000000" w:rsidRPr="005343CE" w:rsidP="005343CE">
      <w:pPr>
        <w:pStyle w:val="Heading1"/>
      </w:pPr>
      <w:bookmarkStart w:id="1" w:name="O_1187681"/>
      <w:bookmarkEnd w:id="1"/>
      <w:r w:rsidRPr="005343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4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Bold"/>
              <w:rPr>
                <w:lang w:val="en-NZ"/>
              </w:rPr>
            </w:pPr>
            <w:r w:rsidRPr="005343C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Bold"/>
              <w:rPr>
                <w:lang w:val="en-NZ"/>
              </w:rPr>
            </w:pPr>
            <w:r w:rsidRPr="005343CE">
              <w:t>Comments</w:t>
            </w:r>
          </w:p>
        </w:tc>
      </w:tr>
      <w:tr w:rsidTr="00534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CE" w:rsidP="005343CE">
            <w:pPr>
              <w:pStyle w:val="BodyText"/>
            </w:pPr>
            <w:r w:rsidRPr="005343CE">
              <w:t>This version released with FBP Food, Beverage and Pharmaceutical Training Package Version 6.0.</w:t>
            </w:r>
          </w:p>
        </w:tc>
      </w:tr>
    </w:tbl>
    <w:p w:rsidR="00000000" w:rsidRPr="005343CE" w:rsidP="005343CE">
      <w:pPr>
        <w:pStyle w:val="BodyText"/>
      </w:pPr>
    </w:p>
    <w:p w:rsidR="00000000" w:rsidRPr="005343CE" w:rsidP="005343CE">
      <w:pPr>
        <w:pStyle w:val="AllowPageBreak"/>
      </w:pPr>
    </w:p>
    <w:p w:rsidR="00000000" w:rsidRPr="005343CE" w:rsidP="005343CE">
      <w:pPr>
        <w:pStyle w:val="Heading1"/>
      </w:pPr>
      <w:bookmarkStart w:id="2" w:name="O_1187682"/>
      <w:bookmarkEnd w:id="2"/>
      <w:r w:rsidRPr="005343CE">
        <w:t>Application</w:t>
      </w:r>
    </w:p>
    <w:p w:rsidR="00000000" w:rsidRPr="005343CE" w:rsidP="0035703F">
      <w:pPr>
        <w:pStyle w:val="BodyText"/>
      </w:pPr>
      <w:r w:rsidRPr="005343CE">
        <w:t xml:space="preserve">This unit of competency describes the skills and knowledge required to develop </w:t>
      </w:r>
      <w:r w:rsidRPr="005343CE">
        <w:t>a plan to mitigate food fraud, and manage the vulnerabilities to the supply chain for processed foods.</w:t>
      </w:r>
    </w:p>
    <w:p w:rsidR="00000000" w:rsidRPr="005343CE" w:rsidP="0035703F">
      <w:pPr>
        <w:pStyle w:val="BodyText"/>
      </w:pPr>
      <w:r w:rsidRPr="005343CE">
        <w:t>This unit focuses on food fraud as a deception for economic gain, concerned with incidents such as counterfeiting, adulteration, smuggling, stolen goods,</w:t>
      </w:r>
      <w:r w:rsidRPr="005343CE">
        <w:t xml:space="preserve"> dilution and mislabelling. It incorporates conducting a food fraud assessment (vulnerability assessment and critical control points, or VACCP). </w:t>
      </w:r>
    </w:p>
    <w:p w:rsidR="00000000" w:rsidRPr="005343CE" w:rsidP="0035703F">
      <w:pPr>
        <w:pStyle w:val="BodyText"/>
      </w:pPr>
      <w:r w:rsidRPr="005343CE">
        <w:t>This unit applies to individuals who are responsible for managing supply chains for processed food or who assu</w:t>
      </w:r>
      <w:r w:rsidRPr="005343CE">
        <w:t>re quality and safety of food products.</w:t>
      </w:r>
    </w:p>
    <w:p w:rsidR="00000000" w:rsidRPr="005343CE" w:rsidP="0035703F">
      <w:pPr>
        <w:pStyle w:val="BodyText"/>
      </w:pPr>
      <w:r w:rsidRPr="005343CE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5343CE" w:rsidP="0035703F">
      <w:pPr>
        <w:pStyle w:val="BodyText"/>
      </w:pPr>
      <w:r w:rsidRPr="005343CE">
        <w:t>No licensing,</w:t>
      </w:r>
      <w:r w:rsidRPr="005343CE">
        <w:t xml:space="preserve"> legislative or certification requirements apply to this unit at the time of publication.</w:t>
      </w:r>
    </w:p>
    <w:p w:rsidR="00000000" w:rsidRPr="005343CE" w:rsidP="005343CE">
      <w:pPr>
        <w:pStyle w:val="Heading1"/>
      </w:pPr>
      <w:bookmarkStart w:id="3" w:name="O_1187683"/>
      <w:bookmarkEnd w:id="3"/>
      <w:r w:rsidRPr="005343CE">
        <w:t>Pre-requisite Unit</w:t>
      </w:r>
    </w:p>
    <w:p w:rsidR="00000000" w:rsidRPr="005343CE" w:rsidP="0035703F">
      <w:pPr>
        <w:pStyle w:val="BodyText"/>
      </w:pPr>
      <w:r w:rsidRPr="005343CE">
        <w:t>Nil</w:t>
      </w:r>
    </w:p>
    <w:p w:rsidR="00000000" w:rsidRPr="005343CE" w:rsidP="005343CE">
      <w:pPr>
        <w:pStyle w:val="Heading1"/>
      </w:pPr>
      <w:bookmarkStart w:id="4" w:name="O_1187685"/>
      <w:bookmarkEnd w:id="4"/>
      <w:r w:rsidRPr="005343CE">
        <w:t>Unit Sector</w:t>
      </w:r>
    </w:p>
    <w:p w:rsidR="00000000" w:rsidRPr="005343CE" w:rsidP="0035703F">
      <w:pPr>
        <w:pStyle w:val="BodyText"/>
      </w:pPr>
      <w:r w:rsidRPr="005343CE">
        <w:t>Food Safety (FSY)</w:t>
      </w:r>
    </w:p>
    <w:p w:rsidR="00000000" w:rsidRPr="005343CE" w:rsidP="005343CE">
      <w:pPr>
        <w:pStyle w:val="Heading1"/>
      </w:pPr>
      <w:bookmarkStart w:id="5" w:name="O_1187686"/>
      <w:bookmarkEnd w:id="5"/>
      <w:r w:rsidRPr="005343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Bold"/>
              <w:rPr>
                <w:lang w:val="en-NZ"/>
              </w:rPr>
            </w:pPr>
            <w:r w:rsidRPr="005343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Bold"/>
              <w:rPr>
                <w:lang w:val="en-NZ"/>
              </w:rPr>
            </w:pPr>
            <w:r w:rsidRPr="005343CE">
              <w:t>Performance Criteria</w:t>
            </w:r>
          </w:p>
        </w:tc>
      </w:tr>
      <w:tr w:rsidTr="0035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CE" w:rsidP="005343CE">
            <w:pPr>
              <w:pStyle w:val="BodyText"/>
            </w:pPr>
            <w:r w:rsidRPr="005343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 xml:space="preserve">1. Describe the product </w:t>
            </w:r>
            <w:r w:rsidRPr="005343CE">
              <w:t>and scope for the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CE" w:rsidP="005343CE">
            <w:pPr>
              <w:pStyle w:val="BodyText"/>
            </w:pPr>
            <w:r w:rsidRPr="005343CE">
              <w:t>1.1 Identify team members who will contribute to</w:t>
            </w:r>
            <w:r w:rsidRPr="005343CE">
              <w:t xml:space="preserve"> the food fraud </w:t>
            </w:r>
            <w:r w:rsidRPr="005343CE">
              <w:t xml:space="preserve">assessment </w:t>
            </w:r>
          </w:p>
          <w:p w:rsidR="00000000" w:rsidRPr="005343CE" w:rsidP="005343CE">
            <w:pPr>
              <w:pStyle w:val="BodyText"/>
            </w:pPr>
            <w:r w:rsidRPr="005343CE">
              <w:t>1.2 Identify food product to form the basis of the assessment</w:t>
            </w:r>
          </w:p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 xml:space="preserve">1.3 Obtain the appropriate raw material, ingredient and product knowledge </w:t>
            </w:r>
          </w:p>
        </w:tc>
      </w:tr>
      <w:tr w:rsidTr="0035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2. Gather information about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CE" w:rsidP="005343CE">
            <w:pPr>
              <w:pStyle w:val="BodyText"/>
            </w:pPr>
            <w:r w:rsidRPr="005343CE">
              <w:t>2.1 List all raw materials included in processed product</w:t>
            </w:r>
          </w:p>
          <w:p w:rsidR="00000000" w:rsidRPr="005343CE" w:rsidP="005343CE">
            <w:pPr>
              <w:pStyle w:val="BodyText"/>
            </w:pPr>
            <w:r w:rsidRPr="005343CE">
              <w:t>2.2 Identify country of origin, supplier, source manufacturer, and pricing trends for each raw material</w:t>
            </w:r>
          </w:p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2.3 Identify known sampling and testing activities for each raw material</w:t>
            </w:r>
          </w:p>
        </w:tc>
      </w:tr>
      <w:tr w:rsidTr="0035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3. Collect informatio</w:t>
            </w:r>
            <w:r w:rsidRPr="005343CE">
              <w:t>n on producers and suppliers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CE" w:rsidP="005343CE">
            <w:pPr>
              <w:pStyle w:val="BodyText"/>
            </w:pPr>
            <w:r w:rsidRPr="005343CE">
              <w:t>3.1 List all producers and suppliers of raw materials, including brokers and/or agents</w:t>
            </w:r>
          </w:p>
          <w:p w:rsidR="00000000" w:rsidRPr="005343CE" w:rsidP="005343CE">
            <w:pPr>
              <w:pStyle w:val="BodyText"/>
            </w:pPr>
            <w:r w:rsidRPr="005343CE">
              <w:t>3.2 Gather information on each supplier and/or producer, including certifications</w:t>
            </w:r>
          </w:p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3.3 Cross-check information to ensure certifications are v</w:t>
            </w:r>
            <w:r w:rsidRPr="005343CE">
              <w:t>alid and current</w:t>
            </w:r>
          </w:p>
        </w:tc>
      </w:tr>
      <w:tr w:rsidTr="0035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4. Conduct a risk assessment of the raw materials in the supply chain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CE" w:rsidP="005343CE">
            <w:pPr>
              <w:pStyle w:val="BodyText"/>
            </w:pPr>
            <w:r w:rsidRPr="005343CE">
              <w:t>4.1 Identify vulnerabilities and risks of food fraud within the raw material supply chain, including suppliers</w:t>
            </w:r>
          </w:p>
          <w:p w:rsidR="00000000" w:rsidRPr="005343CE" w:rsidP="005343CE">
            <w:pPr>
              <w:pStyle w:val="BodyText"/>
            </w:pPr>
            <w:r w:rsidRPr="005343CE">
              <w:t>4.2 Assess the risk to identify the likelihood of adulter</w:t>
            </w:r>
            <w:r w:rsidRPr="005343CE">
              <w:t>ation or food fraud event and its impact</w:t>
            </w:r>
          </w:p>
          <w:p w:rsidR="00000000" w:rsidRPr="005343CE" w:rsidP="005343CE">
            <w:pPr>
              <w:pStyle w:val="BodyText"/>
            </w:pPr>
            <w:r w:rsidRPr="005343CE">
              <w:t>4.3 Plan detection methods and control measures to mitigate the identified risk</w:t>
            </w:r>
          </w:p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4.4 Document the risk assessment of each raw material in the supply chain</w:t>
            </w:r>
          </w:p>
        </w:tc>
      </w:tr>
      <w:tr w:rsidTr="0035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5. Monitor ongoing risks and vulnerabilities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CE" w:rsidP="005343CE">
            <w:pPr>
              <w:pStyle w:val="BodyText"/>
            </w:pPr>
            <w:r w:rsidRPr="005343CE">
              <w:t>5.1 Develop pro</w:t>
            </w:r>
            <w:r w:rsidRPr="005343CE">
              <w:t>cedures for conducting regular risk assessments</w:t>
            </w:r>
          </w:p>
          <w:p w:rsidR="00000000" w:rsidRPr="005343CE" w:rsidP="005343CE">
            <w:pPr>
              <w:pStyle w:val="BodyText"/>
            </w:pPr>
            <w:r w:rsidRPr="005343CE">
              <w:t>5.2 Conduct horizon scanning to identify trends and emerging issues that could increase the likelihood of food fraud for a particular raw material</w:t>
            </w:r>
          </w:p>
          <w:p w:rsidR="00000000" w:rsidRPr="005343CE" w:rsidP="005343CE">
            <w:pPr>
              <w:pStyle w:val="BodyText"/>
            </w:pPr>
            <w:r w:rsidRPr="005343CE">
              <w:t>5.3 Record outcomes of review and action trigger points</w:t>
            </w:r>
          </w:p>
        </w:tc>
      </w:tr>
    </w:tbl>
    <w:p w:rsidR="00000000" w:rsidRPr="005343CE" w:rsidP="005343CE">
      <w:pPr>
        <w:pStyle w:val="BodyText"/>
      </w:pPr>
    </w:p>
    <w:p w:rsidR="00000000" w:rsidRPr="005343CE" w:rsidP="005343CE">
      <w:pPr>
        <w:pStyle w:val="AllowPageBreak"/>
      </w:pPr>
    </w:p>
    <w:p w:rsidR="00000000" w:rsidRPr="005343CE" w:rsidP="005343CE">
      <w:pPr>
        <w:pStyle w:val="Heading1"/>
      </w:pPr>
      <w:bookmarkStart w:id="6" w:name="O_1187687"/>
      <w:bookmarkEnd w:id="6"/>
      <w:r w:rsidRPr="005343CE">
        <w:t>Foundation Skills</w:t>
      </w:r>
    </w:p>
    <w:p w:rsidR="00000000" w:rsidRPr="0035703F" w:rsidP="0035703F">
      <w:pPr>
        <w:pStyle w:val="BodyText"/>
        <w:rPr>
          <w:i/>
        </w:rPr>
      </w:pPr>
      <w:r w:rsidRPr="0035703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4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Bold"/>
              <w:rPr>
                <w:lang w:val="en-NZ"/>
              </w:rPr>
            </w:pPr>
            <w:r w:rsidRPr="005343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Bold"/>
              <w:rPr>
                <w:lang w:val="en-NZ"/>
              </w:rPr>
            </w:pPr>
            <w:r w:rsidRPr="005343CE">
              <w:t>Description</w:t>
            </w:r>
          </w:p>
        </w:tc>
      </w:tr>
      <w:tr w:rsidTr="00534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ListBullet"/>
              <w:rPr>
                <w:lang w:val="en-NZ"/>
              </w:rPr>
            </w:pPr>
            <w:r w:rsidRPr="005343CE">
              <w:t>Analyse food fraud risks, and problem-solve controls</w:t>
            </w:r>
          </w:p>
        </w:tc>
      </w:tr>
      <w:tr w:rsidTr="00534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ListBullet"/>
              <w:rPr>
                <w:lang w:val="en-NZ"/>
              </w:rPr>
            </w:pPr>
            <w:r w:rsidRPr="005343CE">
              <w:t>Interpret food fraud data, research and initiatives</w:t>
            </w:r>
          </w:p>
        </w:tc>
      </w:tr>
      <w:tr w:rsidTr="00534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CE" w:rsidP="005343CE">
            <w:pPr>
              <w:pStyle w:val="ListBullet"/>
            </w:pPr>
            <w:r w:rsidRPr="005343CE">
              <w:t>Recognise trends in numerical data</w:t>
            </w:r>
          </w:p>
        </w:tc>
      </w:tr>
    </w:tbl>
    <w:p w:rsidR="00000000" w:rsidRPr="005343CE" w:rsidP="005343CE">
      <w:pPr>
        <w:pStyle w:val="BodyText"/>
      </w:pPr>
    </w:p>
    <w:p w:rsidR="00000000" w:rsidRPr="005343CE" w:rsidP="005343CE">
      <w:pPr>
        <w:pStyle w:val="AllowPageBreak"/>
      </w:pPr>
    </w:p>
    <w:p w:rsidR="00000000" w:rsidRPr="005343CE" w:rsidP="005343CE">
      <w:pPr>
        <w:pStyle w:val="Heading1"/>
      </w:pPr>
      <w:bookmarkStart w:id="7" w:name="O_1187689"/>
      <w:bookmarkEnd w:id="7"/>
      <w:r w:rsidRPr="005343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34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Bold"/>
              <w:rPr>
                <w:lang w:val="en-NZ"/>
              </w:rPr>
            </w:pPr>
            <w:r w:rsidRPr="005343C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Bold"/>
              <w:rPr>
                <w:lang w:val="en-NZ"/>
              </w:rPr>
            </w:pPr>
            <w:r w:rsidRPr="005343C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Bold"/>
              <w:rPr>
                <w:lang w:val="en-NZ"/>
              </w:rPr>
            </w:pPr>
            <w:r w:rsidRPr="005343C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Bold"/>
              <w:rPr>
                <w:lang w:val="en-NZ"/>
              </w:rPr>
            </w:pPr>
            <w:r w:rsidRPr="005343CE">
              <w:t>Equivalence status</w:t>
            </w:r>
          </w:p>
        </w:tc>
      </w:tr>
      <w:tr w:rsidTr="00534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FBPFSY5004 Plan to mitigate food fraud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CE">
            <w:pPr>
              <w:pStyle w:val="BodyText"/>
              <w:rPr>
                <w:lang w:val="en-NZ"/>
              </w:rPr>
            </w:pPr>
            <w:r w:rsidRPr="005343CE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CE" w:rsidP="005343CE">
            <w:pPr>
              <w:pStyle w:val="BodyText"/>
            </w:pPr>
            <w:r w:rsidRPr="005343CE">
              <w:t>Newly created</w:t>
            </w:r>
          </w:p>
          <w:p w:rsidR="00000000" w:rsidRPr="005343CE" w:rsidP="005343CE">
            <w:pPr>
              <w:pStyle w:val="BodyText"/>
            </w:pPr>
          </w:p>
        </w:tc>
      </w:tr>
    </w:tbl>
    <w:p w:rsidR="00000000" w:rsidRPr="005343CE" w:rsidP="005343CE">
      <w:pPr>
        <w:pStyle w:val="BodyText"/>
      </w:pPr>
    </w:p>
    <w:p w:rsidR="00000000" w:rsidRPr="005343CE" w:rsidP="005343CE">
      <w:pPr>
        <w:pStyle w:val="AllowPageBreak"/>
      </w:pPr>
    </w:p>
    <w:p w:rsidR="00000000" w:rsidRPr="005343CE" w:rsidP="005343CE">
      <w:pPr>
        <w:pStyle w:val="Heading1"/>
      </w:pPr>
      <w:bookmarkStart w:id="8" w:name="O_1187696"/>
      <w:bookmarkEnd w:id="8"/>
      <w:r w:rsidRPr="005343CE">
        <w:t>Links</w:t>
      </w:r>
    </w:p>
    <w:p w:rsidR="00000000" w:rsidRPr="005343CE" w:rsidP="0035703F">
      <w:pPr>
        <w:pStyle w:val="BodyText"/>
      </w:pPr>
      <w:r w:rsidRPr="005343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32F6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43CE" w:rsidP="005343CE"/>
    <w:sectPr w:rsidSect="005343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CE" w:rsidRPr="0035703F" w:rsidP="00357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3F" w:rsidP="005343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03F" w:rsidP="005343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703F" w:rsidP="005343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3CE" w:rsidRPr="0035703F" w:rsidP="00357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3F" w:rsidRPr="002D2AF8" w:rsidP="005343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FBPFSY5004 Plan to mitigate food fraud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35703F" w:rsidP="005343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889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6EF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3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3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3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3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3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3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3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3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3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3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3CE"/>
  </w:style>
  <w:style w:type="character" w:customStyle="1" w:styleId="Heading1Char">
    <w:name w:val="Heading 1 Char"/>
    <w:basedOn w:val="DefaultParagraphFont"/>
    <w:link w:val="Heading1"/>
    <w:rsid w:val="005343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3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3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43C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343CE"/>
    <w:rPr>
      <w:i/>
    </w:rPr>
  </w:style>
  <w:style w:type="paragraph" w:customStyle="1" w:styleId="SuperHeading">
    <w:name w:val="SuperHeading"/>
    <w:basedOn w:val="Normal"/>
    <w:rsid w:val="005343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3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43CE"/>
    <w:rPr>
      <w:b/>
    </w:rPr>
  </w:style>
  <w:style w:type="character" w:customStyle="1" w:styleId="Heading2Char">
    <w:name w:val="Heading 2 Char"/>
    <w:basedOn w:val="DefaultParagraphFont"/>
    <w:link w:val="Heading2"/>
    <w:rsid w:val="005343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3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3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3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3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3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3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3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3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3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3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3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3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3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3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43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43CE"/>
    <w:rPr>
      <w:b/>
      <w:spacing w:val="0"/>
    </w:rPr>
  </w:style>
  <w:style w:type="paragraph" w:customStyle="1" w:styleId="SuperTitle">
    <w:name w:val="SuperTitle"/>
    <w:basedOn w:val="Title"/>
    <w:rsid w:val="005343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3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3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43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43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3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3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3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3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3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3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3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3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43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3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3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3CE"/>
  </w:style>
  <w:style w:type="paragraph" w:styleId="TableofFigures">
    <w:name w:val="table of figures"/>
    <w:basedOn w:val="Normal"/>
    <w:next w:val="Normal"/>
    <w:semiHidden/>
    <w:rsid w:val="005343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3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43CE"/>
    <w:rPr>
      <w:rFonts w:ascii="Wingdings" w:hAnsi="Wingdings"/>
    </w:rPr>
  </w:style>
  <w:style w:type="paragraph" w:customStyle="1" w:styleId="TableHeading">
    <w:name w:val="Table Heading"/>
    <w:basedOn w:val="HeadingBase"/>
    <w:rsid w:val="005343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3CE"/>
    <w:rPr>
      <w:color w:val="0033CC"/>
      <w:u w:val="none"/>
    </w:rPr>
  </w:style>
  <w:style w:type="paragraph" w:customStyle="1" w:styleId="BodyTextRight">
    <w:name w:val="Body Text Right"/>
    <w:basedOn w:val="BodyText"/>
    <w:rsid w:val="005343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3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3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3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3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3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3CE"/>
    <w:rPr>
      <w:sz w:val="32"/>
    </w:rPr>
  </w:style>
  <w:style w:type="paragraph" w:customStyle="1" w:styleId="HeadingProcedure">
    <w:name w:val="Heading Procedure"/>
    <w:basedOn w:val="HeadingBase"/>
    <w:next w:val="Normal"/>
    <w:rsid w:val="005343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3CE"/>
    <w:pPr>
      <w:spacing w:before="60" w:after="60"/>
    </w:pPr>
  </w:style>
  <w:style w:type="paragraph" w:styleId="ListContinue">
    <w:name w:val="List Continue"/>
    <w:basedOn w:val="List"/>
    <w:rsid w:val="005343CE"/>
    <w:pPr>
      <w:ind w:firstLine="0"/>
    </w:pPr>
  </w:style>
  <w:style w:type="paragraph" w:customStyle="1" w:styleId="ListNote">
    <w:name w:val="List Note"/>
    <w:basedOn w:val="List"/>
    <w:rsid w:val="005343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3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3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3CE"/>
    <w:rPr>
      <w:rFonts w:ascii="Courier New" w:hAnsi="Courier New"/>
    </w:rPr>
  </w:style>
  <w:style w:type="paragraph" w:customStyle="1" w:styleId="NoteBullet">
    <w:name w:val="Note Bullet"/>
    <w:basedOn w:val="Note"/>
    <w:rsid w:val="005343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3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3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3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3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43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3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3CE"/>
    <w:rPr>
      <w:b/>
      <w:smallCaps/>
    </w:rPr>
  </w:style>
  <w:style w:type="paragraph" w:customStyle="1" w:styleId="TableListNumber">
    <w:name w:val="Table List Number"/>
    <w:basedOn w:val="ListNumber"/>
    <w:rsid w:val="005343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3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3CE"/>
    <w:pPr>
      <w:numPr>
        <w:numId w:val="8"/>
      </w:numPr>
    </w:pPr>
  </w:style>
  <w:style w:type="paragraph" w:customStyle="1" w:styleId="ListAlpha2">
    <w:name w:val="List Alpha 2"/>
    <w:basedOn w:val="List2"/>
    <w:rsid w:val="005343CE"/>
    <w:pPr>
      <w:numPr>
        <w:numId w:val="7"/>
      </w:numPr>
    </w:pPr>
  </w:style>
  <w:style w:type="paragraph" w:styleId="List2">
    <w:name w:val="List 2"/>
    <w:basedOn w:val="BodyText"/>
    <w:rsid w:val="005343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3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3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3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3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3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43CE"/>
    <w:pPr>
      <w:numPr>
        <w:numId w:val="3"/>
      </w:numPr>
    </w:pPr>
  </w:style>
  <w:style w:type="paragraph" w:styleId="ListContinue2">
    <w:name w:val="List Continue 2"/>
    <w:basedOn w:val="List2"/>
    <w:rsid w:val="005343CE"/>
    <w:pPr>
      <w:ind w:firstLine="0"/>
    </w:pPr>
  </w:style>
  <w:style w:type="paragraph" w:styleId="ListContinue3">
    <w:name w:val="List Continue 3"/>
    <w:basedOn w:val="List3"/>
    <w:rsid w:val="005343CE"/>
    <w:pPr>
      <w:ind w:left="1021" w:firstLine="0"/>
    </w:pPr>
  </w:style>
  <w:style w:type="paragraph" w:styleId="ListContinue4">
    <w:name w:val="List Continue 4"/>
    <w:basedOn w:val="List4"/>
    <w:rsid w:val="005343CE"/>
    <w:pPr>
      <w:ind w:firstLine="0"/>
    </w:pPr>
  </w:style>
  <w:style w:type="paragraph" w:styleId="ListContinue5">
    <w:name w:val="List Continue 5"/>
    <w:basedOn w:val="List5"/>
    <w:rsid w:val="005343CE"/>
    <w:pPr>
      <w:ind w:firstLine="0"/>
    </w:pPr>
  </w:style>
  <w:style w:type="paragraph" w:styleId="ListNumber3">
    <w:name w:val="List Number 3"/>
    <w:basedOn w:val="List3"/>
    <w:rsid w:val="005343CE"/>
    <w:pPr>
      <w:numPr>
        <w:numId w:val="4"/>
      </w:numPr>
    </w:pPr>
  </w:style>
  <w:style w:type="paragraph" w:styleId="ListNumber4">
    <w:name w:val="List Number 4"/>
    <w:basedOn w:val="List4"/>
    <w:rsid w:val="005343CE"/>
    <w:pPr>
      <w:numPr>
        <w:numId w:val="5"/>
      </w:numPr>
    </w:pPr>
  </w:style>
  <w:style w:type="paragraph" w:styleId="ListNumber5">
    <w:name w:val="List Number 5"/>
    <w:basedOn w:val="List5"/>
    <w:rsid w:val="005343CE"/>
    <w:pPr>
      <w:numPr>
        <w:numId w:val="6"/>
      </w:numPr>
    </w:pPr>
  </w:style>
  <w:style w:type="paragraph" w:styleId="BlockText">
    <w:name w:val="Block Text"/>
    <w:basedOn w:val="Normal"/>
    <w:rsid w:val="005343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3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3CE"/>
    <w:rPr>
      <w:sz w:val="16"/>
      <w:vertAlign w:val="superscript"/>
    </w:rPr>
  </w:style>
  <w:style w:type="character" w:customStyle="1" w:styleId="Symbols">
    <w:name w:val="Symbols"/>
    <w:basedOn w:val="DefaultParagraphFont"/>
    <w:rsid w:val="005343CE"/>
    <w:rPr>
      <w:rFonts w:ascii="Symbol" w:hAnsi="Symbol"/>
    </w:rPr>
  </w:style>
  <w:style w:type="character" w:customStyle="1" w:styleId="MenuOptions">
    <w:name w:val="Menu Options"/>
    <w:basedOn w:val="DefaultParagraphFont"/>
    <w:rsid w:val="005343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3CE"/>
    <w:rPr>
      <w:b/>
    </w:rPr>
  </w:style>
  <w:style w:type="character" w:customStyle="1" w:styleId="Underlined">
    <w:name w:val="Underlined"/>
    <w:basedOn w:val="DefaultParagraphFont"/>
    <w:rsid w:val="005343CE"/>
    <w:rPr>
      <w:u w:val="single"/>
    </w:rPr>
  </w:style>
  <w:style w:type="paragraph" w:customStyle="1" w:styleId="TableBodyTextRight">
    <w:name w:val="Table Body Text Right"/>
    <w:basedOn w:val="TableBodyText"/>
    <w:rsid w:val="005343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3CE"/>
    <w:rPr>
      <w:sz w:val="18"/>
    </w:rPr>
  </w:style>
  <w:style w:type="paragraph" w:customStyle="1" w:styleId="BodySmallRight">
    <w:name w:val="Body Small Right"/>
    <w:basedOn w:val="BodyTextRight"/>
    <w:rsid w:val="005343CE"/>
    <w:rPr>
      <w:sz w:val="18"/>
      <w:szCs w:val="18"/>
    </w:rPr>
  </w:style>
  <w:style w:type="paragraph" w:customStyle="1" w:styleId="MarginEdition">
    <w:name w:val="Margin Edition"/>
    <w:basedOn w:val="MarginNote"/>
    <w:rsid w:val="005343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3CE"/>
    <w:rPr>
      <w:sz w:val="2"/>
      <w:szCs w:val="2"/>
    </w:rPr>
  </w:style>
  <w:style w:type="character" w:customStyle="1" w:styleId="Small">
    <w:name w:val="Small"/>
    <w:basedOn w:val="DefaultParagraphFont"/>
    <w:rsid w:val="005343CE"/>
    <w:rPr>
      <w:sz w:val="16"/>
    </w:rPr>
  </w:style>
  <w:style w:type="paragraph" w:customStyle="1" w:styleId="WideTable">
    <w:name w:val="Wide Table"/>
    <w:basedOn w:val="Normal"/>
    <w:rsid w:val="005343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3CE"/>
  </w:style>
  <w:style w:type="paragraph" w:styleId="Quote">
    <w:name w:val="Quote"/>
    <w:basedOn w:val="Heading1"/>
    <w:link w:val="QuoteChar"/>
    <w:qFormat/>
    <w:rsid w:val="005343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3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3CE"/>
    <w:pPr>
      <w:pageBreakBefore/>
    </w:pPr>
  </w:style>
  <w:style w:type="paragraph" w:customStyle="1" w:styleId="Border">
    <w:name w:val="Border"/>
    <w:basedOn w:val="Normal"/>
    <w:qFormat/>
    <w:rsid w:val="005343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3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3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3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3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3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3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3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3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3CE"/>
    <w:rPr>
      <w:u w:val="single"/>
    </w:rPr>
  </w:style>
  <w:style w:type="character" w:customStyle="1" w:styleId="BoldandItalics">
    <w:name w:val="Bold and Italics"/>
    <w:qFormat/>
    <w:rsid w:val="005343CE"/>
    <w:rPr>
      <w:b/>
      <w:i/>
      <w:u w:val="none"/>
    </w:rPr>
  </w:style>
  <w:style w:type="paragraph" w:styleId="BalloonText">
    <w:name w:val="Balloon Text"/>
    <w:basedOn w:val="Normal"/>
    <w:link w:val="BalloonTextChar"/>
    <w:rsid w:val="005343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3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3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3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3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3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3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7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3481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FBPFSY5004 Plan to mitigate food fraud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2022-04-19T18:01:00Z</dcterms:created>
  <dcterms:modified xsi:type="dcterms:W3CDTF">2022-04-19T18:01:00Z</dcterms:modified>
</cp:coreProperties>
</file>