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E9F" w:rsidP="00641E9F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FBPFSY4003 Perform an allergen risk review</w:t>
      </w:r>
      <w:r>
        <w:fldChar w:fldCharType="end"/>
      </w:r>
    </w:p>
    <w:p w:rsidR="00641E9F" w:rsidP="00641E9F">
      <w:pPr>
        <w:pStyle w:val="Version"/>
        <w:sectPr w:rsidSect="007A2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04F" w:rsidP="007A204F">
      <w:pPr>
        <w:pStyle w:val="SuperHeading"/>
      </w:pPr>
      <w:r w:rsidRPr="007A204F">
        <w:t>Assessment Requirements for FBPFSY4003 Perform an allergen risk review</w:t>
      </w:r>
    </w:p>
    <w:p w:rsidR="00000000" w:rsidRPr="007A204F" w:rsidP="007A204F">
      <w:pPr>
        <w:pStyle w:val="Heading1"/>
      </w:pPr>
      <w:bookmarkStart w:id="1" w:name="O_1187596"/>
      <w:bookmarkEnd w:id="1"/>
      <w:r w:rsidRPr="007A20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2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4F">
            <w:pPr>
              <w:pStyle w:val="BodyTextBold"/>
              <w:rPr>
                <w:lang w:val="en-NZ"/>
              </w:rPr>
            </w:pPr>
            <w:r w:rsidRPr="007A204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4F">
            <w:pPr>
              <w:pStyle w:val="BodyTextBold"/>
              <w:rPr>
                <w:lang w:val="en-NZ"/>
              </w:rPr>
            </w:pPr>
            <w:r w:rsidRPr="007A204F">
              <w:t>Comments</w:t>
            </w:r>
          </w:p>
        </w:tc>
      </w:tr>
      <w:tr w:rsidTr="007A20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04F">
            <w:pPr>
              <w:pStyle w:val="BodyText"/>
              <w:rPr>
                <w:lang w:val="en-NZ"/>
              </w:rPr>
            </w:pPr>
            <w:r w:rsidRPr="007A204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04F" w:rsidP="007A204F">
            <w:pPr>
              <w:pStyle w:val="BodyText"/>
            </w:pPr>
            <w:r w:rsidRPr="007A204F">
              <w:t>This version released with FBP Food, Beverage and Pharmaceutical Training Package Version 6.0.</w:t>
            </w:r>
          </w:p>
        </w:tc>
      </w:tr>
    </w:tbl>
    <w:p w:rsidR="00000000" w:rsidRPr="007A204F" w:rsidP="007A204F">
      <w:pPr>
        <w:pStyle w:val="BodyText"/>
      </w:pPr>
    </w:p>
    <w:p w:rsidR="00000000" w:rsidRPr="007A204F" w:rsidP="007A204F">
      <w:pPr>
        <w:pStyle w:val="AllowPageBreak"/>
      </w:pPr>
    </w:p>
    <w:p w:rsidR="00000000" w:rsidRPr="007A204F" w:rsidP="007A204F">
      <w:pPr>
        <w:pStyle w:val="Heading1"/>
      </w:pPr>
      <w:bookmarkStart w:id="2" w:name="O_1187597"/>
      <w:bookmarkEnd w:id="2"/>
      <w:r w:rsidRPr="007A204F">
        <w:t>Performance Evidence</w:t>
      </w:r>
    </w:p>
    <w:p w:rsidR="00000000" w:rsidRPr="007A204F" w:rsidP="00641E9F">
      <w:pPr>
        <w:pStyle w:val="BodyText"/>
      </w:pPr>
      <w:r w:rsidRPr="007A204F">
        <w:t xml:space="preserve">An individual demonstrating competency must satisfy all of the elements and performance criteria in this unit. </w:t>
      </w:r>
    </w:p>
    <w:p w:rsidR="00000000" w:rsidRPr="007A204F" w:rsidP="00641E9F">
      <w:pPr>
        <w:pStyle w:val="BodyText"/>
      </w:pPr>
      <w:r w:rsidRPr="007A204F">
        <w:t>There must be evidence that the individual has performed at least one allergen risk review at a food processing site, inclu</w:t>
      </w:r>
      <w:r w:rsidRPr="007A204F">
        <w:t>ding:</w:t>
      </w:r>
    </w:p>
    <w:p w:rsidR="00000000" w:rsidRPr="007A204F" w:rsidP="007A204F">
      <w:pPr>
        <w:pStyle w:val="ListBullet"/>
      </w:pPr>
      <w:r w:rsidRPr="007A204F">
        <w:t>determining absence or presence of allergens and cross-contact allergens</w:t>
      </w:r>
    </w:p>
    <w:p w:rsidR="00000000" w:rsidRPr="007A204F" w:rsidP="007A204F">
      <w:pPr>
        <w:pStyle w:val="ListBullet"/>
      </w:pPr>
      <w:r w:rsidRPr="007A204F">
        <w:t>troubleshooting options to reduce and eliminate allergens and cross-contact allergens</w:t>
      </w:r>
    </w:p>
    <w:p w:rsidR="00000000" w:rsidRPr="007A204F" w:rsidP="007A204F">
      <w:pPr>
        <w:pStyle w:val="ListBullet"/>
      </w:pPr>
      <w:r w:rsidRPr="007A204F">
        <w:t>identifying known allergens that must be declared to consumers.</w:t>
      </w:r>
    </w:p>
    <w:p w:rsidR="00000000" w:rsidRPr="007A204F" w:rsidP="007A204F">
      <w:pPr>
        <w:pStyle w:val="AllowPageBreak"/>
      </w:pPr>
    </w:p>
    <w:p w:rsidR="00000000" w:rsidRPr="007A204F" w:rsidP="007A204F">
      <w:pPr>
        <w:pStyle w:val="Heading1"/>
      </w:pPr>
      <w:bookmarkStart w:id="3" w:name="O_1187598"/>
      <w:bookmarkEnd w:id="3"/>
      <w:r w:rsidRPr="007A204F">
        <w:t>Knowledge Evidence</w:t>
      </w:r>
    </w:p>
    <w:p w:rsidR="00000000" w:rsidRPr="007A204F" w:rsidP="00641E9F">
      <w:pPr>
        <w:pStyle w:val="BodyText"/>
      </w:pPr>
      <w:r w:rsidRPr="007A204F">
        <w:t>An individual must be able to demonstrate the knowledge required to perform the tasks outlined in the elements and performance criteria of this unit. This includes knowledge of:</w:t>
      </w:r>
    </w:p>
    <w:p w:rsidR="00000000" w:rsidRPr="007A204F" w:rsidP="007A204F">
      <w:pPr>
        <w:pStyle w:val="ListBullet"/>
      </w:pPr>
      <w:r w:rsidRPr="007A204F">
        <w:t>reasons to manage food allergens</w:t>
      </w:r>
    </w:p>
    <w:p w:rsidR="00000000" w:rsidRPr="007A204F" w:rsidP="007A204F">
      <w:pPr>
        <w:pStyle w:val="ListBullet"/>
      </w:pPr>
      <w:r w:rsidRPr="007A204F">
        <w:t>different types of allerg</w:t>
      </w:r>
      <w:r w:rsidRPr="007A204F">
        <w:t>ic reactions (dermal, gastrointestinal, respiratory, circulatory), including anaphylaxis</w:t>
      </w:r>
    </w:p>
    <w:p w:rsidR="00000000" w:rsidRPr="007A204F" w:rsidP="007A204F">
      <w:pPr>
        <w:pStyle w:val="ListBullet"/>
      </w:pPr>
      <w:r w:rsidRPr="007A204F">
        <w:t>the difference between a food allergy, food intolerance and hypersensitivity</w:t>
      </w:r>
    </w:p>
    <w:p w:rsidR="00000000" w:rsidRPr="007A204F" w:rsidP="007A204F">
      <w:pPr>
        <w:pStyle w:val="ListBullet"/>
      </w:pPr>
      <w:r w:rsidRPr="007A204F">
        <w:t>legal requirement to produce food that is safe for human consumption</w:t>
      </w:r>
    </w:p>
    <w:p w:rsidR="00000000" w:rsidRPr="007A204F" w:rsidP="007A204F">
      <w:pPr>
        <w:pStyle w:val="ListBullet"/>
      </w:pPr>
      <w:r w:rsidRPr="007A204F">
        <w:t>requirements for trut</w:t>
      </w:r>
      <w:r w:rsidRPr="007A204F">
        <w:t>h in labelling under Australian Consumer Law</w:t>
      </w:r>
    </w:p>
    <w:p w:rsidR="00000000" w:rsidRPr="007A204F" w:rsidP="007A204F">
      <w:pPr>
        <w:pStyle w:val="ListBullet"/>
      </w:pPr>
      <w:r w:rsidRPr="007A204F">
        <w:t xml:space="preserve">definition of cross-contact as a residue or other trace amount of a food allergen that is unintentionally incorporated into another food </w:t>
      </w:r>
    </w:p>
    <w:p w:rsidR="00000000" w:rsidRPr="007A204F" w:rsidP="007A204F">
      <w:pPr>
        <w:pStyle w:val="ListBullet"/>
      </w:pPr>
      <w:r w:rsidRPr="007A204F">
        <w:t>how cross-contact occurs, which can be from ingredients, raw materials, p</w:t>
      </w:r>
      <w:r w:rsidRPr="007A204F">
        <w:t>ersonnel, inadequate cleaning of equipment, or concurrent and/or co-located plants</w:t>
      </w:r>
    </w:p>
    <w:p w:rsidR="00000000" w:rsidRPr="007A204F" w:rsidP="007A204F">
      <w:pPr>
        <w:pStyle w:val="ListBullet"/>
      </w:pPr>
      <w:r w:rsidRPr="007A204F">
        <w:t>validated tests for identifying allergens</w:t>
      </w:r>
    </w:p>
    <w:p w:rsidR="00000000" w:rsidRPr="007A204F" w:rsidP="007A204F">
      <w:pPr>
        <w:pStyle w:val="ListBullet"/>
      </w:pPr>
      <w:r w:rsidRPr="007A204F">
        <w:t>typical, basic manufacturing-based allergen tests and their purpose, including:</w:t>
      </w:r>
    </w:p>
    <w:p w:rsidR="00000000" w:rsidRPr="007A204F" w:rsidP="007A204F">
      <w:pPr>
        <w:pStyle w:val="ListBullet2"/>
      </w:pPr>
      <w:r w:rsidRPr="007A204F">
        <w:t>ATP (adenosine triphosphate) test kits used as a g</w:t>
      </w:r>
      <w:r w:rsidRPr="007A204F">
        <w:t>eneral indicator of sanitation</w:t>
      </w:r>
    </w:p>
    <w:p w:rsidR="00000000" w:rsidRPr="007A204F" w:rsidP="007A204F">
      <w:pPr>
        <w:pStyle w:val="ListBullet2"/>
      </w:pPr>
      <w:r w:rsidRPr="007A204F">
        <w:t>protein swabs</w:t>
      </w:r>
    </w:p>
    <w:p w:rsidR="00000000" w:rsidRPr="007A204F" w:rsidP="007A204F">
      <w:pPr>
        <w:pStyle w:val="ListBullet2"/>
      </w:pPr>
      <w:r w:rsidRPr="007A204F">
        <w:t>lateral flow devices (LFD) or strip tests used to screen for presence of low level allergens in cleaning rinses and on surfaces</w:t>
      </w:r>
    </w:p>
    <w:p w:rsidR="00000000" w:rsidRPr="007A204F" w:rsidP="007A204F">
      <w:pPr>
        <w:pStyle w:val="ListBullet"/>
      </w:pPr>
      <w:r w:rsidRPr="007A204F">
        <w:t>typical allergen laboratory tests and their purpose:</w:t>
      </w:r>
    </w:p>
    <w:p w:rsidR="00000000" w:rsidRPr="007A204F" w:rsidP="007A204F">
      <w:pPr>
        <w:pStyle w:val="ListBullet2"/>
      </w:pPr>
      <w:r w:rsidRPr="007A204F">
        <w:t>enzyme-linked immunosorbent assay (ELISA) laboratory kits</w:t>
      </w:r>
    </w:p>
    <w:p w:rsidR="00000000" w:rsidRPr="007A204F" w:rsidP="007A204F">
      <w:pPr>
        <w:pStyle w:val="ListBullet2"/>
      </w:pPr>
      <w:r w:rsidRPr="007A204F">
        <w:t>liquid chromatography mass spectrometry (LC–MS)</w:t>
      </w:r>
    </w:p>
    <w:p w:rsidR="00000000" w:rsidRPr="007A204F" w:rsidP="007A204F">
      <w:pPr>
        <w:pStyle w:val="ListBullet2"/>
      </w:pPr>
      <w:r w:rsidRPr="007A204F">
        <w:t>polymerase chain reaction (PCR)</w:t>
      </w:r>
    </w:p>
    <w:p w:rsidR="00000000" w:rsidRPr="007A204F" w:rsidP="007A204F">
      <w:pPr>
        <w:pStyle w:val="ListBullet"/>
      </w:pPr>
      <w:r w:rsidRPr="007A204F">
        <w:t>units used for reporting results of laboratory tests, including differences between quantitative and qualitative</w:t>
      </w:r>
    </w:p>
    <w:p w:rsidR="00000000" w:rsidRPr="007A204F" w:rsidP="007A204F">
      <w:pPr>
        <w:pStyle w:val="ListBullet"/>
      </w:pPr>
      <w:r w:rsidRPr="007A204F">
        <w:t>deve</w:t>
      </w:r>
      <w:r w:rsidRPr="007A204F">
        <w:t>loping a baseline of allergen cross-contact</w:t>
      </w:r>
    </w:p>
    <w:p w:rsidR="00000000" w:rsidRPr="007A204F" w:rsidP="007A204F">
      <w:pPr>
        <w:pStyle w:val="ListBullet"/>
      </w:pPr>
      <w:r w:rsidRPr="007A204F">
        <w:t xml:space="preserve">typical sampling methods </w:t>
      </w:r>
    </w:p>
    <w:p w:rsidR="00000000" w:rsidRPr="007A204F" w:rsidP="007A204F">
      <w:pPr>
        <w:pStyle w:val="ListBullet"/>
      </w:pPr>
      <w:r w:rsidRPr="007A204F">
        <w:t xml:space="preserve">ongoing sampling plan </w:t>
      </w:r>
    </w:p>
    <w:p w:rsidR="00000000" w:rsidRPr="007A204F" w:rsidP="007A204F">
      <w:pPr>
        <w:pStyle w:val="ListBullet"/>
      </w:pPr>
      <w:r w:rsidRPr="007A204F">
        <w:t>how an allergen risk review sits within the context of a Voluntary Incidental Trace Allergen Labelling (VITAL) Program</w:t>
      </w:r>
    </w:p>
    <w:p w:rsidR="00000000" w:rsidRPr="007A204F" w:rsidP="007A204F">
      <w:pPr>
        <w:pStyle w:val="ListBullet"/>
      </w:pPr>
      <w:r w:rsidRPr="007A204F">
        <w:t>substances that require mandatory declaratio</w:t>
      </w:r>
      <w:r w:rsidRPr="007A204F">
        <w:t>n if present in food, according to Australia and New Zealand Food Standards Code (Section 1.2.3–4), including peanuts, tree nuts, milk, eggs, sesame seeds, fish and shellfish, soy, lupin and wheat</w:t>
      </w:r>
    </w:p>
    <w:p w:rsidR="00000000" w:rsidRPr="007A204F" w:rsidP="007A204F">
      <w:pPr>
        <w:pStyle w:val="ListBullet"/>
      </w:pPr>
      <w:r w:rsidRPr="007A204F">
        <w:t>industry references to guide best practice management of al</w:t>
      </w:r>
      <w:r w:rsidRPr="007A204F">
        <w:t>lergens in food</w:t>
      </w:r>
    </w:p>
    <w:p w:rsidR="00000000" w:rsidRPr="007A204F" w:rsidP="007A204F">
      <w:pPr>
        <w:pStyle w:val="ListBullet"/>
      </w:pPr>
      <w:r w:rsidRPr="007A204F">
        <w:t xml:space="preserve">how allergens are dealt with according to the hazard analysis and critical control point (HACCP) principles, for the location. </w:t>
      </w:r>
    </w:p>
    <w:p w:rsidR="00000000" w:rsidRPr="007A204F" w:rsidP="007A204F">
      <w:pPr>
        <w:pStyle w:val="AllowPageBreak"/>
      </w:pPr>
    </w:p>
    <w:p w:rsidR="00000000" w:rsidRPr="007A204F" w:rsidP="007A204F">
      <w:pPr>
        <w:pStyle w:val="Heading1"/>
      </w:pPr>
      <w:bookmarkStart w:id="4" w:name="O_1187599"/>
      <w:bookmarkEnd w:id="4"/>
      <w:r w:rsidRPr="007A204F">
        <w:t>Assessment Conditions</w:t>
      </w:r>
    </w:p>
    <w:p w:rsidR="00000000" w:rsidRPr="007A204F" w:rsidP="00641E9F">
      <w:pPr>
        <w:pStyle w:val="BodyText"/>
      </w:pPr>
      <w:r w:rsidRPr="007A204F">
        <w:t xml:space="preserve">Assessment of the skills in this unit of competency must take place under the following conditions: </w:t>
      </w:r>
    </w:p>
    <w:p w:rsidR="00000000" w:rsidRPr="007A204F" w:rsidP="007A204F">
      <w:pPr>
        <w:pStyle w:val="ListBullet"/>
      </w:pPr>
      <w:r w:rsidRPr="007A204F">
        <w:t>physical conditions:</w:t>
      </w:r>
    </w:p>
    <w:p w:rsidR="00000000" w:rsidRPr="007A204F" w:rsidP="007A204F">
      <w:pPr>
        <w:pStyle w:val="ListBullet2"/>
      </w:pPr>
      <w:r w:rsidRPr="007A204F">
        <w:t xml:space="preserve">a workplace or an environment that accurately represents a food processing workplace </w:t>
      </w:r>
    </w:p>
    <w:p w:rsidR="00000000" w:rsidRPr="007A204F" w:rsidP="007A204F">
      <w:pPr>
        <w:pStyle w:val="ListBullet"/>
      </w:pPr>
      <w:r w:rsidRPr="007A204F">
        <w:t>resources:</w:t>
      </w:r>
    </w:p>
    <w:p w:rsidR="00000000" w:rsidRPr="007A204F" w:rsidP="007A204F">
      <w:pPr>
        <w:pStyle w:val="ListBullet2"/>
      </w:pPr>
      <w:r w:rsidRPr="007A204F">
        <w:t>food and/or beverage processing p</w:t>
      </w:r>
      <w:r w:rsidRPr="007A204F">
        <w:t>lant</w:t>
      </w:r>
    </w:p>
    <w:p w:rsidR="00000000" w:rsidRPr="007A204F" w:rsidP="007A204F">
      <w:pPr>
        <w:pStyle w:val="ListBullet2"/>
      </w:pPr>
      <w:r w:rsidRPr="007A204F">
        <w:t>raw materials, ingredients, additives, processing aids</w:t>
      </w:r>
    </w:p>
    <w:p w:rsidR="00000000" w:rsidRPr="007A204F" w:rsidP="007A204F">
      <w:pPr>
        <w:pStyle w:val="ListBullet2"/>
      </w:pPr>
      <w:r w:rsidRPr="007A204F">
        <w:t>sample products</w:t>
      </w:r>
    </w:p>
    <w:p w:rsidR="00000000" w:rsidRPr="007A204F" w:rsidP="007A204F">
      <w:pPr>
        <w:pStyle w:val="ListBullet"/>
      </w:pPr>
      <w:r w:rsidRPr="007A204F">
        <w:t>specifications:</w:t>
      </w:r>
    </w:p>
    <w:p w:rsidR="00000000" w:rsidRPr="007A204F" w:rsidP="007A204F">
      <w:pPr>
        <w:pStyle w:val="ListBullet2"/>
      </w:pPr>
      <w:r w:rsidRPr="007A204F">
        <w:t>sample and test methods</w:t>
      </w:r>
    </w:p>
    <w:p w:rsidR="00000000" w:rsidRPr="007A204F" w:rsidP="007A204F">
      <w:pPr>
        <w:pStyle w:val="ListBullet2"/>
      </w:pPr>
      <w:r w:rsidRPr="007A204F">
        <w:t>work procedures, including advice on safe work practices and food safety requirements.</w:t>
      </w:r>
    </w:p>
    <w:p w:rsidR="00000000" w:rsidRPr="007A204F" w:rsidP="00641E9F">
      <w:pPr>
        <w:pStyle w:val="BodyText"/>
      </w:pPr>
      <w:r w:rsidRPr="007A204F">
        <w:t>Assessors of this unit must satisfy the requirement</w:t>
      </w:r>
      <w:r w:rsidRPr="007A204F">
        <w:t>s for assessors in applicable vocational education and training legislation, frameworks and/or standards.</w:t>
      </w:r>
    </w:p>
    <w:p w:rsidR="00000000" w:rsidRPr="007A204F" w:rsidP="007A204F">
      <w:pPr>
        <w:pStyle w:val="Heading1"/>
      </w:pPr>
      <w:bookmarkStart w:id="5" w:name="O_1187602"/>
      <w:bookmarkEnd w:id="5"/>
      <w:r w:rsidRPr="007A204F">
        <w:t>Links</w:t>
      </w:r>
    </w:p>
    <w:p w:rsidR="00000000" w:rsidRPr="007A204F" w:rsidP="00641E9F">
      <w:pPr>
        <w:pStyle w:val="BodyText"/>
      </w:pPr>
      <w:r w:rsidRPr="007A20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90B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204F" w:rsidP="007A204F"/>
    <w:sectPr w:rsidSect="007A20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4F" w:rsidRPr="00641E9F" w:rsidP="00641E9F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F" w:rsidP="007A2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1E9F" w:rsidP="007A2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1E9F" w:rsidP="007A2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04F" w:rsidRPr="00641E9F" w:rsidP="00641E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0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E9F" w:rsidRPr="002D2AF8" w:rsidP="007A2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FBPFSY4003 Perform an allergen risk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641E9F" w:rsidP="007A2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521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9CD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C86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04F"/>
  </w:style>
  <w:style w:type="character" w:customStyle="1" w:styleId="Heading1Char">
    <w:name w:val="Heading 1 Char"/>
    <w:basedOn w:val="DefaultParagraphFont"/>
    <w:link w:val="Heading1"/>
    <w:rsid w:val="007A2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0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0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20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2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A204F"/>
    <w:rPr>
      <w:b/>
    </w:rPr>
  </w:style>
  <w:style w:type="character" w:customStyle="1" w:styleId="Heading2Char">
    <w:name w:val="Heading 2 Char"/>
    <w:basedOn w:val="DefaultParagraphFont"/>
    <w:link w:val="Heading2"/>
    <w:rsid w:val="007A2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0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0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204F"/>
    <w:rPr>
      <w:b/>
      <w:spacing w:val="0"/>
    </w:rPr>
  </w:style>
  <w:style w:type="paragraph" w:customStyle="1" w:styleId="SuperTitle">
    <w:name w:val="SuperTitle"/>
    <w:basedOn w:val="Title"/>
    <w:rsid w:val="007A2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2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04F"/>
    <w:rPr>
      <w:i/>
    </w:rPr>
  </w:style>
  <w:style w:type="paragraph" w:styleId="Caption">
    <w:name w:val="caption"/>
    <w:basedOn w:val="BodyText"/>
    <w:next w:val="Normal"/>
    <w:qFormat/>
    <w:rsid w:val="007A2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04F"/>
  </w:style>
  <w:style w:type="paragraph" w:styleId="TableofFigures">
    <w:name w:val="table of figures"/>
    <w:basedOn w:val="Normal"/>
    <w:next w:val="Normal"/>
    <w:semiHidden/>
    <w:rsid w:val="007A2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0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204F"/>
    <w:rPr>
      <w:rFonts w:ascii="Wingdings" w:hAnsi="Wingdings"/>
    </w:rPr>
  </w:style>
  <w:style w:type="paragraph" w:customStyle="1" w:styleId="TableHeading">
    <w:name w:val="Table Heading"/>
    <w:basedOn w:val="HeadingBase"/>
    <w:rsid w:val="007A20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04F"/>
    <w:rPr>
      <w:color w:val="0033CC"/>
      <w:u w:val="none"/>
    </w:rPr>
  </w:style>
  <w:style w:type="paragraph" w:customStyle="1" w:styleId="BodyTextRight">
    <w:name w:val="Body Text Right"/>
    <w:basedOn w:val="BodyText"/>
    <w:rsid w:val="007A2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0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04F"/>
    <w:rPr>
      <w:sz w:val="32"/>
    </w:rPr>
  </w:style>
  <w:style w:type="paragraph" w:customStyle="1" w:styleId="HeadingProcedure">
    <w:name w:val="Heading Procedure"/>
    <w:basedOn w:val="HeadingBase"/>
    <w:next w:val="Normal"/>
    <w:rsid w:val="007A2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04F"/>
    <w:pPr>
      <w:spacing w:before="60" w:after="60"/>
    </w:pPr>
  </w:style>
  <w:style w:type="paragraph" w:styleId="ListContinue">
    <w:name w:val="List Continue"/>
    <w:basedOn w:val="List"/>
    <w:rsid w:val="007A204F"/>
    <w:pPr>
      <w:ind w:firstLine="0"/>
    </w:pPr>
  </w:style>
  <w:style w:type="paragraph" w:customStyle="1" w:styleId="ListNote">
    <w:name w:val="List Note"/>
    <w:basedOn w:val="List"/>
    <w:rsid w:val="007A2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04F"/>
    <w:rPr>
      <w:rFonts w:ascii="Courier New" w:hAnsi="Courier New"/>
    </w:rPr>
  </w:style>
  <w:style w:type="paragraph" w:customStyle="1" w:styleId="NoteBullet">
    <w:name w:val="Note Bullet"/>
    <w:basedOn w:val="Note"/>
    <w:rsid w:val="007A2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0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2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04F"/>
    <w:rPr>
      <w:b/>
      <w:smallCaps/>
    </w:rPr>
  </w:style>
  <w:style w:type="paragraph" w:customStyle="1" w:styleId="TableListNumber">
    <w:name w:val="Table List Number"/>
    <w:basedOn w:val="ListNumber"/>
    <w:rsid w:val="007A2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04F"/>
    <w:pPr>
      <w:numPr>
        <w:numId w:val="9"/>
      </w:numPr>
    </w:pPr>
  </w:style>
  <w:style w:type="paragraph" w:customStyle="1" w:styleId="ListAlpha2">
    <w:name w:val="List Alpha 2"/>
    <w:basedOn w:val="List2"/>
    <w:rsid w:val="007A204F"/>
    <w:pPr>
      <w:numPr>
        <w:numId w:val="8"/>
      </w:numPr>
    </w:pPr>
  </w:style>
  <w:style w:type="paragraph" w:styleId="List2">
    <w:name w:val="List 2"/>
    <w:basedOn w:val="BodyText"/>
    <w:rsid w:val="007A2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0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0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204F"/>
    <w:pPr>
      <w:numPr>
        <w:numId w:val="4"/>
      </w:numPr>
    </w:pPr>
  </w:style>
  <w:style w:type="paragraph" w:styleId="ListContinue2">
    <w:name w:val="List Continue 2"/>
    <w:basedOn w:val="List2"/>
    <w:rsid w:val="007A204F"/>
    <w:pPr>
      <w:ind w:firstLine="0"/>
    </w:pPr>
  </w:style>
  <w:style w:type="paragraph" w:styleId="ListContinue3">
    <w:name w:val="List Continue 3"/>
    <w:basedOn w:val="List3"/>
    <w:rsid w:val="007A204F"/>
    <w:pPr>
      <w:ind w:left="1021" w:firstLine="0"/>
    </w:pPr>
  </w:style>
  <w:style w:type="paragraph" w:styleId="ListContinue4">
    <w:name w:val="List Continue 4"/>
    <w:basedOn w:val="List4"/>
    <w:rsid w:val="007A204F"/>
    <w:pPr>
      <w:ind w:firstLine="0"/>
    </w:pPr>
  </w:style>
  <w:style w:type="paragraph" w:styleId="ListContinue5">
    <w:name w:val="List Continue 5"/>
    <w:basedOn w:val="List5"/>
    <w:rsid w:val="007A204F"/>
    <w:pPr>
      <w:ind w:firstLine="0"/>
    </w:pPr>
  </w:style>
  <w:style w:type="paragraph" w:styleId="ListNumber3">
    <w:name w:val="List Number 3"/>
    <w:basedOn w:val="List3"/>
    <w:rsid w:val="007A204F"/>
    <w:pPr>
      <w:numPr>
        <w:numId w:val="5"/>
      </w:numPr>
    </w:pPr>
  </w:style>
  <w:style w:type="paragraph" w:styleId="ListNumber4">
    <w:name w:val="List Number 4"/>
    <w:basedOn w:val="List4"/>
    <w:rsid w:val="007A204F"/>
    <w:pPr>
      <w:numPr>
        <w:numId w:val="6"/>
      </w:numPr>
    </w:pPr>
  </w:style>
  <w:style w:type="paragraph" w:styleId="ListNumber5">
    <w:name w:val="List Number 5"/>
    <w:basedOn w:val="List5"/>
    <w:rsid w:val="007A204F"/>
    <w:pPr>
      <w:numPr>
        <w:numId w:val="7"/>
      </w:numPr>
    </w:pPr>
  </w:style>
  <w:style w:type="paragraph" w:styleId="BlockText">
    <w:name w:val="Block Text"/>
    <w:basedOn w:val="Normal"/>
    <w:rsid w:val="007A2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04F"/>
    <w:rPr>
      <w:sz w:val="16"/>
      <w:vertAlign w:val="superscript"/>
    </w:rPr>
  </w:style>
  <w:style w:type="character" w:customStyle="1" w:styleId="Symbols">
    <w:name w:val="Symbols"/>
    <w:basedOn w:val="DefaultParagraphFont"/>
    <w:rsid w:val="007A204F"/>
    <w:rPr>
      <w:rFonts w:ascii="Symbol" w:hAnsi="Symbol"/>
    </w:rPr>
  </w:style>
  <w:style w:type="character" w:customStyle="1" w:styleId="MenuOptions">
    <w:name w:val="Menu Options"/>
    <w:basedOn w:val="DefaultParagraphFont"/>
    <w:rsid w:val="007A2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04F"/>
    <w:rPr>
      <w:b/>
    </w:rPr>
  </w:style>
  <w:style w:type="character" w:customStyle="1" w:styleId="Underlined">
    <w:name w:val="Underlined"/>
    <w:basedOn w:val="DefaultParagraphFont"/>
    <w:rsid w:val="007A204F"/>
    <w:rPr>
      <w:u w:val="single"/>
    </w:rPr>
  </w:style>
  <w:style w:type="paragraph" w:customStyle="1" w:styleId="TableBodyTextRight">
    <w:name w:val="Table Body Text Right"/>
    <w:basedOn w:val="TableBodyText"/>
    <w:rsid w:val="007A2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04F"/>
    <w:rPr>
      <w:sz w:val="18"/>
    </w:rPr>
  </w:style>
  <w:style w:type="paragraph" w:customStyle="1" w:styleId="BodySmallRight">
    <w:name w:val="Body Small Right"/>
    <w:basedOn w:val="BodyTextRight"/>
    <w:rsid w:val="007A204F"/>
    <w:rPr>
      <w:sz w:val="18"/>
      <w:szCs w:val="18"/>
    </w:rPr>
  </w:style>
  <w:style w:type="paragraph" w:customStyle="1" w:styleId="MarginEdition">
    <w:name w:val="Margin Edition"/>
    <w:basedOn w:val="MarginNote"/>
    <w:rsid w:val="007A2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04F"/>
    <w:rPr>
      <w:sz w:val="2"/>
      <w:szCs w:val="2"/>
    </w:rPr>
  </w:style>
  <w:style w:type="character" w:customStyle="1" w:styleId="Small">
    <w:name w:val="Small"/>
    <w:basedOn w:val="DefaultParagraphFont"/>
    <w:rsid w:val="007A204F"/>
    <w:rPr>
      <w:sz w:val="16"/>
    </w:rPr>
  </w:style>
  <w:style w:type="paragraph" w:customStyle="1" w:styleId="WideTable">
    <w:name w:val="Wide Table"/>
    <w:basedOn w:val="Normal"/>
    <w:rsid w:val="007A2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04F"/>
  </w:style>
  <w:style w:type="paragraph" w:styleId="Quote">
    <w:name w:val="Quote"/>
    <w:basedOn w:val="Heading1"/>
    <w:link w:val="QuoteChar"/>
    <w:qFormat/>
    <w:rsid w:val="007A2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04F"/>
    <w:pPr>
      <w:pageBreakBefore/>
    </w:pPr>
  </w:style>
  <w:style w:type="paragraph" w:customStyle="1" w:styleId="Border">
    <w:name w:val="Border"/>
    <w:basedOn w:val="Normal"/>
    <w:qFormat/>
    <w:rsid w:val="007A2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04F"/>
    <w:rPr>
      <w:u w:val="single"/>
    </w:rPr>
  </w:style>
  <w:style w:type="character" w:customStyle="1" w:styleId="BoldandItalics">
    <w:name w:val="Bold and Italics"/>
    <w:qFormat/>
    <w:rsid w:val="007A204F"/>
    <w:rPr>
      <w:b/>
      <w:i/>
      <w:u w:val="none"/>
    </w:rPr>
  </w:style>
  <w:style w:type="paragraph" w:styleId="BalloonText">
    <w:name w:val="Balloon Text"/>
    <w:basedOn w:val="Normal"/>
    <w:link w:val="BalloonTextChar"/>
    <w:rsid w:val="007A2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0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1E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3401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FBPFSY4003 Perform an allergen risk review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2023-01-26T22:32:00Z</dcterms:created>
  <dcterms:modified xsi:type="dcterms:W3CDTF">2023-01-26T22:32:00Z</dcterms:modified>
</cp:coreProperties>
</file>