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4EB" w:rsidP="00810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FBPFST4014 Apply sensory analysis in food and/or beverage production</w:t>
      </w:r>
      <w:r>
        <w:fldChar w:fldCharType="end"/>
      </w:r>
    </w:p>
    <w:p w:rsidR="008104EB" w:rsidP="008104EB">
      <w:pPr>
        <w:pStyle w:val="Version"/>
        <w:sectPr w:rsidSect="000A3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1D2" w:rsidP="000A31D2">
      <w:pPr>
        <w:pStyle w:val="SuperHeading"/>
      </w:pPr>
      <w:r w:rsidRPr="000A31D2">
        <w:t>Assessment Requirements for FBPFST4014 Apply sensory analysis in food and/or beverage production</w:t>
      </w:r>
    </w:p>
    <w:p w:rsidR="00000000" w:rsidRPr="000A31D2" w:rsidP="000A31D2">
      <w:pPr>
        <w:pStyle w:val="Heading1"/>
      </w:pPr>
      <w:bookmarkStart w:id="1" w:name="O_1058992"/>
      <w:bookmarkEnd w:id="1"/>
      <w:r w:rsidRPr="000A31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3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1D2">
            <w:pPr>
              <w:pStyle w:val="BodyTextBold"/>
              <w:rPr>
                <w:lang w:val="en-NZ"/>
              </w:rPr>
            </w:pPr>
            <w:r w:rsidRPr="000A31D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1D2">
            <w:pPr>
              <w:pStyle w:val="BodyTextBold"/>
              <w:rPr>
                <w:lang w:val="en-NZ"/>
              </w:rPr>
            </w:pPr>
            <w:r w:rsidRPr="000A31D2">
              <w:t>Comments</w:t>
            </w:r>
          </w:p>
        </w:tc>
      </w:tr>
      <w:tr w:rsidTr="000A31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1D2">
            <w:pPr>
              <w:pStyle w:val="BodyText"/>
              <w:rPr>
                <w:lang w:val="en-NZ"/>
              </w:rPr>
            </w:pPr>
            <w:r w:rsidRPr="000A31D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1D2" w:rsidP="000A31D2">
            <w:pPr>
              <w:pStyle w:val="BodyText"/>
            </w:pPr>
            <w:r w:rsidRPr="000A31D2">
              <w:t>This version released with FBP Food, Beverage and Pharmaceutical Training Package Version 3.0.</w:t>
            </w:r>
          </w:p>
        </w:tc>
      </w:tr>
    </w:tbl>
    <w:p w:rsidR="00000000" w:rsidRPr="000A31D2" w:rsidP="000A31D2">
      <w:pPr>
        <w:pStyle w:val="BodyText"/>
      </w:pPr>
    </w:p>
    <w:p w:rsidR="00000000" w:rsidRPr="000A31D2" w:rsidP="000A31D2">
      <w:pPr>
        <w:pStyle w:val="AllowPageBreak"/>
      </w:pPr>
    </w:p>
    <w:p w:rsidR="00000000" w:rsidRPr="000A31D2" w:rsidP="000A31D2">
      <w:pPr>
        <w:pStyle w:val="Heading1"/>
      </w:pPr>
      <w:bookmarkStart w:id="2" w:name="O_1058993"/>
      <w:bookmarkEnd w:id="2"/>
      <w:r w:rsidRPr="000A31D2">
        <w:t>Performance Evidence</w:t>
      </w:r>
    </w:p>
    <w:p w:rsidR="00000000" w:rsidRPr="000A31D2" w:rsidP="008104EB">
      <w:pPr>
        <w:pStyle w:val="BodyText"/>
      </w:pPr>
      <w:r w:rsidRPr="000A31D2">
        <w:t xml:space="preserve">An individual demonstrating competency must satisfy all of the elements and performance criteria in this unit. </w:t>
      </w:r>
    </w:p>
    <w:p w:rsidR="00000000" w:rsidRPr="000A31D2" w:rsidP="008104EB">
      <w:pPr>
        <w:pStyle w:val="BodyText"/>
      </w:pPr>
      <w:r w:rsidRPr="000A31D2">
        <w:t>There m</w:t>
      </w:r>
      <w:r w:rsidRPr="000A31D2">
        <w:t>ust be evidence that the individual has effectively applied sensory analysis in a food and/or beverage production environment, including:</w:t>
      </w:r>
    </w:p>
    <w:p w:rsidR="00000000" w:rsidRPr="000A31D2" w:rsidP="000A31D2">
      <w:pPr>
        <w:pStyle w:val="ListBullet"/>
      </w:pPr>
      <w:r w:rsidRPr="000A31D2">
        <w:t>analysing and describing the organoleptic properties of three different food products, or three different beverage pr</w:t>
      </w:r>
      <w:r w:rsidRPr="000A31D2">
        <w:t>oducts, including:</w:t>
      </w:r>
    </w:p>
    <w:p w:rsidR="00000000" w:rsidRPr="000A31D2" w:rsidP="000A31D2">
      <w:pPr>
        <w:pStyle w:val="ListBullet2"/>
      </w:pPr>
      <w:r w:rsidRPr="000A31D2">
        <w:t>taste – sweet, salty, bitter, sour and umami (savoury)</w:t>
      </w:r>
    </w:p>
    <w:p w:rsidR="00000000" w:rsidRPr="000A31D2" w:rsidP="000A31D2">
      <w:pPr>
        <w:pStyle w:val="ListBullet2"/>
      </w:pPr>
      <w:r w:rsidRPr="000A31D2">
        <w:t>texture</w:t>
      </w:r>
    </w:p>
    <w:p w:rsidR="00000000" w:rsidRPr="000A31D2" w:rsidP="000A31D2">
      <w:pPr>
        <w:pStyle w:val="ListBullet2"/>
      </w:pPr>
      <w:r w:rsidRPr="000A31D2">
        <w:t>aroma</w:t>
      </w:r>
    </w:p>
    <w:p w:rsidR="00000000" w:rsidRPr="000A31D2" w:rsidP="000A31D2">
      <w:pPr>
        <w:pStyle w:val="ListBullet2"/>
      </w:pPr>
      <w:r w:rsidRPr="000A31D2">
        <w:t>flavour</w:t>
      </w:r>
    </w:p>
    <w:p w:rsidR="00000000" w:rsidRPr="000A31D2" w:rsidP="000A31D2">
      <w:pPr>
        <w:pStyle w:val="ListBullet2"/>
      </w:pPr>
      <w:r w:rsidRPr="000A31D2">
        <w:t xml:space="preserve">colour </w:t>
      </w:r>
    </w:p>
    <w:p w:rsidR="00000000" w:rsidRPr="000A31D2" w:rsidP="000A31D2">
      <w:pPr>
        <w:pStyle w:val="ListBullet2"/>
      </w:pPr>
      <w:r w:rsidRPr="000A31D2">
        <w:t>visual properties</w:t>
      </w:r>
    </w:p>
    <w:p w:rsidR="00000000" w:rsidRPr="000A31D2" w:rsidP="000A31D2">
      <w:pPr>
        <w:pStyle w:val="ListBullet"/>
      </w:pPr>
      <w:r w:rsidRPr="000A31D2">
        <w:t>identifying differences between the three products</w:t>
      </w:r>
    </w:p>
    <w:p w:rsidR="00000000" w:rsidRPr="000A31D2" w:rsidP="000A31D2">
      <w:pPr>
        <w:pStyle w:val="ListBullet"/>
      </w:pPr>
      <w:r w:rsidRPr="000A31D2">
        <w:t>identifying product faults</w:t>
      </w:r>
    </w:p>
    <w:p w:rsidR="00000000" w:rsidRPr="000A31D2" w:rsidP="000A31D2">
      <w:pPr>
        <w:pStyle w:val="ListBullet"/>
      </w:pPr>
      <w:r w:rsidRPr="000A31D2">
        <w:t>identifying any personal sensory blind spots.</w:t>
      </w:r>
    </w:p>
    <w:p w:rsidR="00000000" w:rsidRPr="000A31D2" w:rsidP="000A31D2">
      <w:pPr>
        <w:pStyle w:val="AllowPageBreak"/>
      </w:pPr>
    </w:p>
    <w:p w:rsidR="00000000" w:rsidRPr="000A31D2" w:rsidP="000A31D2">
      <w:pPr>
        <w:pStyle w:val="Heading1"/>
      </w:pPr>
      <w:bookmarkStart w:id="3" w:name="O_1058994"/>
      <w:bookmarkEnd w:id="3"/>
      <w:r w:rsidRPr="000A31D2">
        <w:t>Knowledge Evidence</w:t>
      </w:r>
    </w:p>
    <w:p w:rsidR="00000000" w:rsidRPr="000A31D2" w:rsidP="008104EB">
      <w:pPr>
        <w:pStyle w:val="BodyText"/>
      </w:pPr>
      <w:r w:rsidRPr="000A31D2">
        <w:t>An individual must be able to demonstrate the knowledge required to perform the tasks outlined in the elements and performance criteria of this unit. This includes knowledge of:</w:t>
      </w:r>
    </w:p>
    <w:p w:rsidR="00000000" w:rsidRPr="000A31D2" w:rsidP="000A31D2">
      <w:pPr>
        <w:pStyle w:val="ListBullet"/>
      </w:pPr>
      <w:r w:rsidRPr="000A31D2">
        <w:t>industry codes of practice relevant to i</w:t>
      </w:r>
      <w:r w:rsidRPr="000A31D2">
        <w:t>ndustry sector</w:t>
      </w:r>
    </w:p>
    <w:p w:rsidR="00000000" w:rsidRPr="000A31D2" w:rsidP="000A31D2">
      <w:pPr>
        <w:pStyle w:val="ListBullet"/>
      </w:pPr>
      <w:r w:rsidRPr="000A31D2">
        <w:t>anatomy, physiology and functions of taste and smell to determine sample appearance, texture, aroma and flavour</w:t>
      </w:r>
    </w:p>
    <w:p w:rsidR="00000000" w:rsidRPr="000A31D2" w:rsidP="000A31D2">
      <w:pPr>
        <w:pStyle w:val="ListBullet"/>
      </w:pPr>
      <w:r w:rsidRPr="000A31D2">
        <w:t>the primary flavour characteristics of sweet/sour, umami (savoury) and bitter/salty</w:t>
      </w:r>
    </w:p>
    <w:p w:rsidR="00000000" w:rsidRPr="000A31D2" w:rsidP="000A31D2">
      <w:pPr>
        <w:pStyle w:val="ListBullet"/>
      </w:pPr>
      <w:r w:rsidRPr="000A31D2">
        <w:t>frameworks for organoleptic evaluation, relevant to product</w:t>
      </w:r>
    </w:p>
    <w:p w:rsidR="00000000" w:rsidRPr="000A31D2" w:rsidP="000A31D2">
      <w:pPr>
        <w:pStyle w:val="ListBullet"/>
      </w:pPr>
      <w:r w:rsidRPr="000A31D2">
        <w:t>clarity around what makes a quality product (style, context, specification)</w:t>
      </w:r>
    </w:p>
    <w:p w:rsidR="00000000" w:rsidRPr="000A31D2" w:rsidP="000A31D2">
      <w:pPr>
        <w:pStyle w:val="ListBullet"/>
      </w:pPr>
      <w:r w:rsidRPr="000A31D2">
        <w:t>interaction of sensory activity, including the interaction between taste and smell, and effect of temperature on samples</w:t>
      </w:r>
    </w:p>
    <w:p w:rsidR="00000000" w:rsidRPr="000A31D2" w:rsidP="000A31D2">
      <w:pPr>
        <w:pStyle w:val="ListBullet"/>
      </w:pPr>
      <w:r w:rsidRPr="000A31D2">
        <w:t>associated characteristics of mouth feel and appearance</w:t>
      </w:r>
    </w:p>
    <w:p w:rsidR="00000000" w:rsidRPr="000A31D2" w:rsidP="000A31D2">
      <w:pPr>
        <w:pStyle w:val="ListBullet"/>
      </w:pPr>
      <w:r w:rsidRPr="000A31D2">
        <w:t>the various sensory evaluation tests used in the food processing industry</w:t>
      </w:r>
    </w:p>
    <w:p w:rsidR="00000000" w:rsidRPr="000A31D2" w:rsidP="000A31D2">
      <w:pPr>
        <w:pStyle w:val="ListBullet"/>
      </w:pPr>
      <w:r w:rsidRPr="000A31D2">
        <w:t>principles and purpose of test methods implemented (why they are used and what they demonstrate)</w:t>
      </w:r>
    </w:p>
    <w:p w:rsidR="00000000" w:rsidRPr="000A31D2" w:rsidP="000A31D2">
      <w:pPr>
        <w:pStyle w:val="ListBullet"/>
      </w:pPr>
      <w:r w:rsidRPr="000A31D2">
        <w:t>quality requirements for con</w:t>
      </w:r>
      <w:r w:rsidRPr="000A31D2">
        <w:t>ducting a taste panel</w:t>
      </w:r>
    </w:p>
    <w:p w:rsidR="00000000" w:rsidRPr="000A31D2" w:rsidP="000A31D2">
      <w:pPr>
        <w:pStyle w:val="ListBullet"/>
      </w:pPr>
      <w:r w:rsidRPr="000A31D2">
        <w:t>sensory panels and their makeup (and acknowledgement that people have different sensory skills)</w:t>
      </w:r>
    </w:p>
    <w:p w:rsidR="00000000" w:rsidRPr="000A31D2" w:rsidP="000A31D2">
      <w:pPr>
        <w:pStyle w:val="ListBullet"/>
      </w:pPr>
      <w:r w:rsidRPr="000A31D2">
        <w:t>descriptive, discriminative and affective sensory methods</w:t>
      </w:r>
    </w:p>
    <w:p w:rsidR="00000000" w:rsidRPr="000A31D2" w:rsidP="000A31D2">
      <w:pPr>
        <w:pStyle w:val="ListBullet"/>
      </w:pPr>
      <w:r w:rsidRPr="000A31D2">
        <w:t>typical samples used for sensory analysis, including:</w:t>
      </w:r>
    </w:p>
    <w:p w:rsidR="00000000" w:rsidRPr="000A31D2" w:rsidP="000A31D2">
      <w:pPr>
        <w:pStyle w:val="ListBullet2"/>
      </w:pPr>
      <w:r w:rsidRPr="000A31D2">
        <w:t>raw materials, ingredient</w:t>
      </w:r>
      <w:r w:rsidRPr="000A31D2">
        <w:t>s, final products, packaging materials, and materials that come in contact with the product</w:t>
      </w:r>
    </w:p>
    <w:p w:rsidR="00000000" w:rsidRPr="000A31D2" w:rsidP="000A31D2">
      <w:pPr>
        <w:pStyle w:val="ListBullet2"/>
      </w:pPr>
      <w:r w:rsidRPr="000A31D2">
        <w:t>materials at stages of production</w:t>
      </w:r>
    </w:p>
    <w:p w:rsidR="00000000" w:rsidRPr="000A31D2" w:rsidP="000A31D2">
      <w:pPr>
        <w:pStyle w:val="ListBullet2"/>
      </w:pPr>
      <w:r w:rsidRPr="000A31D2">
        <w:t>process aids and adjuncts</w:t>
      </w:r>
    </w:p>
    <w:p w:rsidR="00000000" w:rsidRPr="000A31D2" w:rsidP="000A31D2">
      <w:pPr>
        <w:pStyle w:val="ListBullet"/>
      </w:pPr>
      <w:r w:rsidRPr="000A31D2">
        <w:t>common testing methods:</w:t>
      </w:r>
    </w:p>
    <w:p w:rsidR="00000000" w:rsidRPr="000A31D2" w:rsidP="000A31D2">
      <w:pPr>
        <w:pStyle w:val="ListBullet2"/>
      </w:pPr>
      <w:r w:rsidRPr="000A31D2">
        <w:t>triangular test, duo-trio test, ranking test, paired comparison test and blend</w:t>
      </w:r>
      <w:r w:rsidRPr="000A31D2">
        <w:t>ing test</w:t>
      </w:r>
    </w:p>
    <w:p w:rsidR="00000000" w:rsidRPr="000A31D2" w:rsidP="000A31D2">
      <w:pPr>
        <w:pStyle w:val="ListBullet2"/>
      </w:pPr>
      <w:r w:rsidRPr="000A31D2">
        <w:t>flavour profile</w:t>
      </w:r>
    </w:p>
    <w:p w:rsidR="00000000" w:rsidRPr="000A31D2" w:rsidP="000A31D2">
      <w:pPr>
        <w:pStyle w:val="ListBullet2"/>
      </w:pPr>
      <w:r w:rsidRPr="000A31D2">
        <w:t>threshold analysis</w:t>
      </w:r>
    </w:p>
    <w:p w:rsidR="00000000" w:rsidRPr="000A31D2" w:rsidP="000A31D2">
      <w:pPr>
        <w:pStyle w:val="ListBullet2"/>
      </w:pPr>
      <w:r w:rsidRPr="000A31D2">
        <w:t>discriminative testing, descriptive testing and affective testing</w:t>
      </w:r>
    </w:p>
    <w:p w:rsidR="00000000" w:rsidRPr="000A31D2" w:rsidP="000A31D2">
      <w:pPr>
        <w:pStyle w:val="ListBullet"/>
      </w:pPr>
      <w:r w:rsidRPr="000A31D2">
        <w:t>typical uses of the results obtained from the sensory analysis:</w:t>
      </w:r>
    </w:p>
    <w:p w:rsidR="00000000" w:rsidRPr="000A31D2" w:rsidP="000A31D2">
      <w:pPr>
        <w:pStyle w:val="ListBullet2"/>
      </w:pPr>
      <w:r w:rsidRPr="000A31D2">
        <w:t>quality assurance at various stages of production</w:t>
      </w:r>
    </w:p>
    <w:p w:rsidR="00000000" w:rsidRPr="000A31D2" w:rsidP="000A31D2">
      <w:pPr>
        <w:pStyle w:val="ListBullet2"/>
      </w:pPr>
      <w:r w:rsidRPr="000A31D2">
        <w:t>quality control and troubleshooting</w:t>
      </w:r>
    </w:p>
    <w:p w:rsidR="00000000" w:rsidRPr="000A31D2" w:rsidP="000A31D2">
      <w:pPr>
        <w:pStyle w:val="ListBullet2"/>
      </w:pPr>
      <w:r w:rsidRPr="000A31D2">
        <w:t>research and development of new products</w:t>
      </w:r>
    </w:p>
    <w:p w:rsidR="00000000" w:rsidRPr="000A31D2" w:rsidP="000A31D2">
      <w:pPr>
        <w:pStyle w:val="ListBullet2"/>
      </w:pPr>
      <w:r w:rsidRPr="000A31D2">
        <w:t>blending.</w:t>
      </w:r>
    </w:p>
    <w:p w:rsidR="00000000" w:rsidRPr="000A31D2" w:rsidP="000A31D2">
      <w:pPr>
        <w:pStyle w:val="AllowPageBreak"/>
      </w:pPr>
    </w:p>
    <w:p w:rsidR="00000000" w:rsidRPr="000A31D2" w:rsidP="000A31D2">
      <w:pPr>
        <w:pStyle w:val="Heading1"/>
      </w:pPr>
      <w:bookmarkStart w:id="4" w:name="O_1058995"/>
      <w:bookmarkEnd w:id="4"/>
      <w:r w:rsidRPr="000A31D2">
        <w:t>Assessment Conditions</w:t>
      </w:r>
    </w:p>
    <w:p w:rsidR="00000000" w:rsidRPr="000A31D2" w:rsidP="008104EB">
      <w:pPr>
        <w:pStyle w:val="BodyText"/>
      </w:pPr>
      <w:r w:rsidRPr="000A31D2">
        <w:t xml:space="preserve">Assessment of skills must take place under the following conditions: </w:t>
      </w:r>
    </w:p>
    <w:p w:rsidR="00000000" w:rsidRPr="000A31D2" w:rsidP="000A31D2">
      <w:pPr>
        <w:pStyle w:val="ListBullet"/>
      </w:pPr>
      <w:r w:rsidRPr="000A31D2">
        <w:t>physical conditions:</w:t>
      </w:r>
    </w:p>
    <w:p w:rsidR="00000000" w:rsidRPr="000A31D2" w:rsidP="000A31D2">
      <w:pPr>
        <w:pStyle w:val="ListBullet2"/>
      </w:pPr>
      <w:r w:rsidRPr="000A31D2">
        <w:t>skills must be demonstrated in a wo</w:t>
      </w:r>
      <w:r w:rsidRPr="000A31D2">
        <w:t>rkplace setting or an environment that accurately represents a real food or beverage production environment</w:t>
      </w:r>
    </w:p>
    <w:p w:rsidR="00000000" w:rsidRPr="000A31D2" w:rsidP="000A31D2">
      <w:pPr>
        <w:pStyle w:val="ListBullet"/>
      </w:pPr>
      <w:r w:rsidRPr="000A31D2">
        <w:t>resources, equipment and materials:</w:t>
      </w:r>
    </w:p>
    <w:p w:rsidR="00000000" w:rsidRPr="000A31D2" w:rsidP="000A31D2">
      <w:pPr>
        <w:pStyle w:val="ListBullet2"/>
      </w:pPr>
      <w:r w:rsidRPr="000A31D2">
        <w:t>food and/or beverage product samples for analysis.</w:t>
      </w:r>
    </w:p>
    <w:p w:rsidR="00000000" w:rsidRPr="000A31D2" w:rsidP="008104EB">
      <w:pPr>
        <w:pStyle w:val="BodyText"/>
      </w:pPr>
      <w:r w:rsidRPr="000A31D2">
        <w:t>Assessors of this unit must satisfy the requirements for assessors in applicable vocational education and training legislation, frameworks and/or standards.</w:t>
      </w:r>
    </w:p>
    <w:p w:rsidR="00000000" w:rsidRPr="000A31D2" w:rsidP="000A31D2">
      <w:pPr>
        <w:pStyle w:val="Heading1"/>
      </w:pPr>
      <w:bookmarkStart w:id="5" w:name="O_1058998"/>
      <w:bookmarkEnd w:id="5"/>
      <w:r w:rsidRPr="000A31D2">
        <w:t>Links</w:t>
      </w:r>
    </w:p>
    <w:p w:rsidR="00000000" w:rsidRPr="000A31D2" w:rsidP="008104EB">
      <w:pPr>
        <w:pStyle w:val="BodyText"/>
      </w:pPr>
      <w:r w:rsidRPr="000A31D2">
        <w:t>Companion Volumes, including Implementation Guides, are available at VETNe</w:t>
      </w:r>
      <w:r w:rsidRPr="000A31D2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0E2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31D2" w:rsidP="000A31D2"/>
    <w:sectPr w:rsidSect="000A31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D2" w:rsidRPr="008104EB" w:rsidP="00810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EB" w:rsidP="000A3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04EB" w:rsidP="000A3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04EB" w:rsidP="000A3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1D2" w:rsidRPr="008104EB" w:rsidP="00810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EB" w:rsidRPr="002D2AF8" w:rsidP="000A3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FBPFST4014 Apply sensory analysis in food and/or beverage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8104EB" w:rsidP="000A3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01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69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DE1C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1D2"/>
  </w:style>
  <w:style w:type="character" w:customStyle="1" w:styleId="Heading1Char">
    <w:name w:val="Heading 1 Char"/>
    <w:basedOn w:val="DefaultParagraphFont"/>
    <w:link w:val="Heading1"/>
    <w:rsid w:val="000A3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1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31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31D2"/>
    <w:rPr>
      <w:b/>
    </w:rPr>
  </w:style>
  <w:style w:type="character" w:customStyle="1" w:styleId="Heading2Char">
    <w:name w:val="Heading 2 Char"/>
    <w:basedOn w:val="DefaultParagraphFont"/>
    <w:link w:val="Heading2"/>
    <w:rsid w:val="000A3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31D2"/>
    <w:rPr>
      <w:b/>
      <w:spacing w:val="0"/>
    </w:rPr>
  </w:style>
  <w:style w:type="paragraph" w:customStyle="1" w:styleId="SuperTitle">
    <w:name w:val="SuperTitle"/>
    <w:basedOn w:val="Title"/>
    <w:rsid w:val="000A3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1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1D2"/>
    <w:rPr>
      <w:i/>
    </w:rPr>
  </w:style>
  <w:style w:type="paragraph" w:styleId="Caption">
    <w:name w:val="caption"/>
    <w:basedOn w:val="BodyText"/>
    <w:next w:val="Normal"/>
    <w:qFormat/>
    <w:rsid w:val="000A3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1D2"/>
  </w:style>
  <w:style w:type="paragraph" w:styleId="TableofFigures">
    <w:name w:val="table of figures"/>
    <w:basedOn w:val="Normal"/>
    <w:next w:val="Normal"/>
    <w:semiHidden/>
    <w:rsid w:val="000A3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1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1D2"/>
    <w:rPr>
      <w:rFonts w:ascii="Wingdings" w:hAnsi="Wingdings"/>
    </w:rPr>
  </w:style>
  <w:style w:type="paragraph" w:customStyle="1" w:styleId="TableHeading">
    <w:name w:val="Table Heading"/>
    <w:basedOn w:val="HeadingBase"/>
    <w:rsid w:val="000A3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1D2"/>
    <w:rPr>
      <w:color w:val="0033CC"/>
      <w:u w:val="none"/>
    </w:rPr>
  </w:style>
  <w:style w:type="paragraph" w:customStyle="1" w:styleId="BodyTextRight">
    <w:name w:val="Body Text Right"/>
    <w:basedOn w:val="BodyText"/>
    <w:rsid w:val="000A3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1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1D2"/>
    <w:rPr>
      <w:sz w:val="32"/>
    </w:rPr>
  </w:style>
  <w:style w:type="paragraph" w:customStyle="1" w:styleId="HeadingProcedure">
    <w:name w:val="Heading Procedure"/>
    <w:basedOn w:val="HeadingBase"/>
    <w:next w:val="Normal"/>
    <w:rsid w:val="000A3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1D2"/>
    <w:pPr>
      <w:spacing w:before="60" w:after="60"/>
    </w:pPr>
  </w:style>
  <w:style w:type="paragraph" w:styleId="ListContinue">
    <w:name w:val="List Continue"/>
    <w:basedOn w:val="List"/>
    <w:rsid w:val="000A31D2"/>
    <w:pPr>
      <w:ind w:firstLine="0"/>
    </w:pPr>
  </w:style>
  <w:style w:type="paragraph" w:customStyle="1" w:styleId="ListNote">
    <w:name w:val="List Note"/>
    <w:basedOn w:val="List"/>
    <w:rsid w:val="000A3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1D2"/>
    <w:rPr>
      <w:rFonts w:ascii="Courier New" w:hAnsi="Courier New"/>
    </w:rPr>
  </w:style>
  <w:style w:type="paragraph" w:customStyle="1" w:styleId="NoteBullet">
    <w:name w:val="Note Bullet"/>
    <w:basedOn w:val="Note"/>
    <w:rsid w:val="000A3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1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1D2"/>
    <w:rPr>
      <w:b/>
      <w:smallCaps/>
    </w:rPr>
  </w:style>
  <w:style w:type="paragraph" w:customStyle="1" w:styleId="TableListNumber">
    <w:name w:val="Table List Number"/>
    <w:basedOn w:val="ListNumber"/>
    <w:rsid w:val="000A3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1D2"/>
    <w:pPr>
      <w:numPr>
        <w:numId w:val="9"/>
      </w:numPr>
    </w:pPr>
  </w:style>
  <w:style w:type="paragraph" w:customStyle="1" w:styleId="ListAlpha2">
    <w:name w:val="List Alpha 2"/>
    <w:basedOn w:val="List2"/>
    <w:rsid w:val="000A31D2"/>
    <w:pPr>
      <w:numPr>
        <w:numId w:val="8"/>
      </w:numPr>
    </w:pPr>
  </w:style>
  <w:style w:type="paragraph" w:styleId="List2">
    <w:name w:val="List 2"/>
    <w:basedOn w:val="BodyText"/>
    <w:rsid w:val="000A3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1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1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1D2"/>
    <w:pPr>
      <w:numPr>
        <w:numId w:val="4"/>
      </w:numPr>
    </w:pPr>
  </w:style>
  <w:style w:type="paragraph" w:styleId="ListContinue2">
    <w:name w:val="List Continue 2"/>
    <w:basedOn w:val="List2"/>
    <w:rsid w:val="000A31D2"/>
    <w:pPr>
      <w:ind w:firstLine="0"/>
    </w:pPr>
  </w:style>
  <w:style w:type="paragraph" w:styleId="ListContinue3">
    <w:name w:val="List Continue 3"/>
    <w:basedOn w:val="List3"/>
    <w:rsid w:val="000A31D2"/>
    <w:pPr>
      <w:ind w:left="1021" w:firstLine="0"/>
    </w:pPr>
  </w:style>
  <w:style w:type="paragraph" w:styleId="ListContinue4">
    <w:name w:val="List Continue 4"/>
    <w:basedOn w:val="List4"/>
    <w:rsid w:val="000A31D2"/>
    <w:pPr>
      <w:ind w:firstLine="0"/>
    </w:pPr>
  </w:style>
  <w:style w:type="paragraph" w:styleId="ListContinue5">
    <w:name w:val="List Continue 5"/>
    <w:basedOn w:val="List5"/>
    <w:rsid w:val="000A31D2"/>
    <w:pPr>
      <w:ind w:firstLine="0"/>
    </w:pPr>
  </w:style>
  <w:style w:type="paragraph" w:styleId="ListNumber3">
    <w:name w:val="List Number 3"/>
    <w:basedOn w:val="List3"/>
    <w:rsid w:val="000A31D2"/>
    <w:pPr>
      <w:numPr>
        <w:numId w:val="5"/>
      </w:numPr>
    </w:pPr>
  </w:style>
  <w:style w:type="paragraph" w:styleId="ListNumber4">
    <w:name w:val="List Number 4"/>
    <w:basedOn w:val="List4"/>
    <w:rsid w:val="000A31D2"/>
    <w:pPr>
      <w:numPr>
        <w:numId w:val="6"/>
      </w:numPr>
    </w:pPr>
  </w:style>
  <w:style w:type="paragraph" w:styleId="ListNumber5">
    <w:name w:val="List Number 5"/>
    <w:basedOn w:val="List5"/>
    <w:rsid w:val="000A31D2"/>
    <w:pPr>
      <w:numPr>
        <w:numId w:val="7"/>
      </w:numPr>
    </w:pPr>
  </w:style>
  <w:style w:type="paragraph" w:styleId="BlockText">
    <w:name w:val="Block Text"/>
    <w:basedOn w:val="Normal"/>
    <w:rsid w:val="000A3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1D2"/>
    <w:rPr>
      <w:sz w:val="16"/>
      <w:vertAlign w:val="superscript"/>
    </w:rPr>
  </w:style>
  <w:style w:type="character" w:customStyle="1" w:styleId="Symbols">
    <w:name w:val="Symbols"/>
    <w:basedOn w:val="DefaultParagraphFont"/>
    <w:rsid w:val="000A31D2"/>
    <w:rPr>
      <w:rFonts w:ascii="Symbol" w:hAnsi="Symbol"/>
    </w:rPr>
  </w:style>
  <w:style w:type="character" w:customStyle="1" w:styleId="MenuOptions">
    <w:name w:val="Menu Options"/>
    <w:basedOn w:val="DefaultParagraphFont"/>
    <w:rsid w:val="000A3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1D2"/>
    <w:rPr>
      <w:b/>
    </w:rPr>
  </w:style>
  <w:style w:type="character" w:customStyle="1" w:styleId="Underlined">
    <w:name w:val="Underlined"/>
    <w:basedOn w:val="DefaultParagraphFont"/>
    <w:rsid w:val="000A31D2"/>
    <w:rPr>
      <w:u w:val="single"/>
    </w:rPr>
  </w:style>
  <w:style w:type="paragraph" w:customStyle="1" w:styleId="TableBodyTextRight">
    <w:name w:val="Table Body Text Right"/>
    <w:basedOn w:val="TableBodyText"/>
    <w:rsid w:val="000A3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1D2"/>
    <w:rPr>
      <w:sz w:val="18"/>
    </w:rPr>
  </w:style>
  <w:style w:type="paragraph" w:customStyle="1" w:styleId="BodySmallRight">
    <w:name w:val="Body Small Right"/>
    <w:basedOn w:val="BodyTextRight"/>
    <w:rsid w:val="000A31D2"/>
    <w:rPr>
      <w:sz w:val="18"/>
      <w:szCs w:val="18"/>
    </w:rPr>
  </w:style>
  <w:style w:type="paragraph" w:customStyle="1" w:styleId="MarginEdition">
    <w:name w:val="Margin Edition"/>
    <w:basedOn w:val="MarginNote"/>
    <w:rsid w:val="000A3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1D2"/>
    <w:rPr>
      <w:sz w:val="2"/>
      <w:szCs w:val="2"/>
    </w:rPr>
  </w:style>
  <w:style w:type="character" w:customStyle="1" w:styleId="Small">
    <w:name w:val="Small"/>
    <w:basedOn w:val="DefaultParagraphFont"/>
    <w:rsid w:val="000A31D2"/>
    <w:rPr>
      <w:sz w:val="16"/>
    </w:rPr>
  </w:style>
  <w:style w:type="paragraph" w:customStyle="1" w:styleId="WideTable">
    <w:name w:val="Wide Table"/>
    <w:basedOn w:val="Normal"/>
    <w:rsid w:val="000A3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1D2"/>
  </w:style>
  <w:style w:type="paragraph" w:styleId="Quote">
    <w:name w:val="Quote"/>
    <w:basedOn w:val="Heading1"/>
    <w:link w:val="QuoteChar"/>
    <w:qFormat/>
    <w:rsid w:val="000A3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1D2"/>
    <w:pPr>
      <w:pageBreakBefore/>
    </w:pPr>
  </w:style>
  <w:style w:type="paragraph" w:customStyle="1" w:styleId="Border">
    <w:name w:val="Border"/>
    <w:basedOn w:val="Normal"/>
    <w:qFormat/>
    <w:rsid w:val="000A3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1D2"/>
    <w:rPr>
      <w:u w:val="single"/>
    </w:rPr>
  </w:style>
  <w:style w:type="character" w:customStyle="1" w:styleId="BoldandItalics">
    <w:name w:val="Bold and Italics"/>
    <w:qFormat/>
    <w:rsid w:val="000A31D2"/>
    <w:rPr>
      <w:b/>
      <w:i/>
      <w:u w:val="none"/>
    </w:rPr>
  </w:style>
  <w:style w:type="paragraph" w:styleId="BalloonText">
    <w:name w:val="Balloon Text"/>
    <w:basedOn w:val="Normal"/>
    <w:link w:val="BalloonTextChar"/>
    <w:rsid w:val="000A3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1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0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3148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FBPFST4014 Apply sensory analysis in food and/or beverage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