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7E7D" w:rsidP="006E7E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FBPFST4008 Preserve food in cans or sealed containers</w:t>
      </w:r>
      <w:r>
        <w:fldChar w:fldCharType="end"/>
      </w:r>
    </w:p>
    <w:p w:rsidR="006E7E7D" w:rsidP="006E7E7D">
      <w:pPr>
        <w:pStyle w:val="Version"/>
        <w:sectPr w:rsidSect="00F54B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4BFF" w:rsidP="00F54BFF">
      <w:pPr>
        <w:pStyle w:val="SuperHeading"/>
      </w:pPr>
      <w:r w:rsidRPr="00F54BFF">
        <w:t>Assessment Requirements for FBPFST4008 Preserve food in cans or sealed containers</w:t>
      </w:r>
    </w:p>
    <w:p w:rsidR="00000000" w:rsidRPr="00F54BFF" w:rsidP="00F54BFF">
      <w:pPr>
        <w:pStyle w:val="Heading1"/>
      </w:pPr>
      <w:bookmarkStart w:id="1" w:name="O_993737"/>
      <w:bookmarkEnd w:id="1"/>
      <w:r w:rsidRPr="00F54BF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F54B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BFF" w:rsidP="00F54BFF">
            <w:pPr>
              <w:pStyle w:val="BodyText"/>
            </w:pPr>
            <w:r w:rsidRPr="00F54BFF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FF">
            <w:pPr>
              <w:pStyle w:val="BodyText"/>
              <w:rPr>
                <w:lang w:val="en-NZ"/>
              </w:rPr>
            </w:pPr>
            <w:r w:rsidRPr="00F54BFF">
              <w:rPr>
                <w:rStyle w:val="SpecialBold"/>
              </w:rPr>
              <w:t>Comments</w:t>
            </w:r>
          </w:p>
        </w:tc>
      </w:tr>
      <w:tr w:rsidTr="00F54B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FF">
            <w:pPr>
              <w:pStyle w:val="BodyText"/>
              <w:rPr>
                <w:lang w:val="en-NZ"/>
              </w:rPr>
            </w:pPr>
            <w:r w:rsidRPr="00F54BFF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BFF" w:rsidP="00F54BFF">
            <w:pPr>
              <w:pStyle w:val="BodyText"/>
            </w:pPr>
            <w:r w:rsidRPr="00F54BFF">
              <w:t>This version released with the FBP Food, Beverage and Pharmaceutical Training Package Version 2.0.</w:t>
            </w:r>
          </w:p>
        </w:tc>
      </w:tr>
    </w:tbl>
    <w:p w:rsidR="00000000" w:rsidRPr="00F54BFF" w:rsidP="00F54BFF">
      <w:pPr>
        <w:pStyle w:val="BodyText"/>
      </w:pPr>
    </w:p>
    <w:p w:rsidR="00000000" w:rsidRPr="00F54BFF" w:rsidP="00F54BFF">
      <w:pPr>
        <w:pStyle w:val="AllowPageBreak"/>
      </w:pPr>
    </w:p>
    <w:p w:rsidR="00000000" w:rsidRPr="00F54BFF" w:rsidP="00F54BFF">
      <w:pPr>
        <w:pStyle w:val="Heading1"/>
      </w:pPr>
      <w:bookmarkStart w:id="2" w:name="O_993738"/>
      <w:bookmarkEnd w:id="2"/>
      <w:r w:rsidRPr="00F54BFF">
        <w:t>Performance Evidence</w:t>
      </w:r>
    </w:p>
    <w:p w:rsidR="00000000" w:rsidRPr="00F54BFF" w:rsidP="006E7E7D">
      <w:pPr>
        <w:pStyle w:val="BodyText"/>
      </w:pPr>
      <w:r w:rsidRPr="00F54BFF">
        <w:t>An individual demonstrating competency in this unit must satisfy all of the elements and performance criteria of this unit.</w:t>
      </w:r>
    </w:p>
    <w:p w:rsidR="00000000" w:rsidRPr="00F54BFF" w:rsidP="006E7E7D">
      <w:pPr>
        <w:pStyle w:val="BodyText"/>
      </w:pPr>
      <w:r w:rsidRPr="00F54BFF">
        <w:t>There must be evidence that the individual has safely and effectively preserved two different</w:t>
      </w:r>
      <w:r w:rsidRPr="00F54BFF">
        <w:t xml:space="preserve"> foods in cans and/or sealed pouches, including:</w:t>
      </w:r>
    </w:p>
    <w:p w:rsidR="00000000" w:rsidRPr="00F54BFF" w:rsidP="00F54BFF">
      <w:pPr>
        <w:pStyle w:val="ListBullet"/>
      </w:pPr>
      <w:r w:rsidRPr="00F54BFF">
        <w:t>supervising the food preparation for each process</w:t>
      </w:r>
    </w:p>
    <w:p w:rsidR="00000000" w:rsidRPr="00F54BFF" w:rsidP="00F54BFF">
      <w:pPr>
        <w:pStyle w:val="ListBullet"/>
      </w:pPr>
      <w:r w:rsidRPr="00F54BFF">
        <w:t>supervising the set-up and operation of hermetically sealed packaging or canning equipment</w:t>
      </w:r>
    </w:p>
    <w:p w:rsidR="00000000" w:rsidRPr="00F54BFF" w:rsidP="00F54BFF">
      <w:pPr>
        <w:pStyle w:val="ListBullet"/>
      </w:pPr>
      <w:r w:rsidRPr="00F54BFF">
        <w:t xml:space="preserve">establishing the critical control points (CCPs) and critical limits </w:t>
      </w:r>
    </w:p>
    <w:p w:rsidR="00000000" w:rsidRPr="00F54BFF" w:rsidP="00F54BFF">
      <w:pPr>
        <w:pStyle w:val="ListBullet"/>
      </w:pPr>
      <w:r w:rsidRPr="00F54BFF">
        <w:t>calculating pressures, temperatures and cooking times to eliminate the risk of microbial spoilage for a canning or hermetic sealing operation, including:</w:t>
      </w:r>
    </w:p>
    <w:p w:rsidR="00000000" w:rsidRPr="00F54BFF" w:rsidP="00F54BFF">
      <w:pPr>
        <w:pStyle w:val="ListBullet2"/>
      </w:pPr>
      <w:r w:rsidRPr="00F54BFF">
        <w:t>calculated the Lethality value f</w:t>
      </w:r>
      <w:r w:rsidRPr="00F54BFF">
        <w:t>or a product</w:t>
      </w:r>
    </w:p>
    <w:p w:rsidR="00000000" w:rsidRPr="00F54BFF" w:rsidP="00F54BFF">
      <w:pPr>
        <w:pStyle w:val="ListBullet2"/>
      </w:pPr>
      <w:r w:rsidRPr="00F54BFF">
        <w:t>calculated the Fo value from available date by using the graphical integration method and the Gillespie method</w:t>
      </w:r>
    </w:p>
    <w:p w:rsidR="00000000" w:rsidRPr="00F54BFF" w:rsidP="00F54BFF">
      <w:pPr>
        <w:pStyle w:val="ListBullet2"/>
      </w:pPr>
      <w:r w:rsidRPr="00F54BFF">
        <w:t>calculated the Sterilisation value of process by using the trapezoidal method and the microorganism population method</w:t>
      </w:r>
    </w:p>
    <w:p w:rsidR="00000000" w:rsidRPr="00F54BFF" w:rsidP="00F54BFF">
      <w:pPr>
        <w:pStyle w:val="ListBullet2"/>
      </w:pPr>
      <w:r w:rsidRPr="00F54BFF">
        <w:t>calculated the</w:t>
      </w:r>
      <w:r w:rsidRPr="00F54BFF">
        <w:t xml:space="preserve"> Fh value for different container sizes</w:t>
      </w:r>
    </w:p>
    <w:p w:rsidR="00000000" w:rsidRPr="00F54BFF" w:rsidP="00F54BFF">
      <w:pPr>
        <w:pStyle w:val="ListBullet2"/>
      </w:pPr>
      <w:r w:rsidRPr="00F54BFF">
        <w:t>calculated the time it would take to reach a given temperature at the slowest heating point in a can</w:t>
      </w:r>
    </w:p>
    <w:p w:rsidR="00000000" w:rsidRPr="00F54BFF" w:rsidP="00F54BFF">
      <w:pPr>
        <w:pStyle w:val="ListBullet2"/>
      </w:pPr>
      <w:r w:rsidRPr="00F54BFF">
        <w:t>constructed confidence intervals for mean and standard deviation</w:t>
      </w:r>
    </w:p>
    <w:p w:rsidR="00000000" w:rsidRPr="00F54BFF" w:rsidP="00F54BFF">
      <w:pPr>
        <w:pStyle w:val="ListBullet2"/>
      </w:pPr>
      <w:r w:rsidRPr="00F54BFF">
        <w:t>computed ‘t-test’</w:t>
      </w:r>
    </w:p>
    <w:p w:rsidR="00000000" w:rsidRPr="00F54BFF" w:rsidP="00F54BFF">
      <w:pPr>
        <w:pStyle w:val="ListBullet2"/>
      </w:pPr>
      <w:r w:rsidRPr="00F54BFF">
        <w:t>read and interpreted ‘t-table’</w:t>
      </w:r>
    </w:p>
    <w:p w:rsidR="00000000" w:rsidRPr="00F54BFF" w:rsidP="00F54BFF">
      <w:pPr>
        <w:pStyle w:val="ListBullet2"/>
      </w:pPr>
      <w:r w:rsidRPr="00F54BFF">
        <w:t>d</w:t>
      </w:r>
      <w:r w:rsidRPr="00F54BFF">
        <w:t>etermined significance of results using ‘t-test’</w:t>
      </w:r>
    </w:p>
    <w:p w:rsidR="00000000" w:rsidRPr="00F54BFF" w:rsidP="00F54BFF">
      <w:pPr>
        <w:pStyle w:val="ListBullet2"/>
      </w:pPr>
      <w:r w:rsidRPr="00F54BFF">
        <w:t>calculated X2</w:t>
      </w:r>
    </w:p>
    <w:p w:rsidR="00000000" w:rsidRPr="00F54BFF" w:rsidP="00F54BFF">
      <w:pPr>
        <w:pStyle w:val="ListBullet2"/>
      </w:pPr>
      <w:r w:rsidRPr="00F54BFF">
        <w:t>tested X2 significance at 95 and 99%</w:t>
      </w:r>
    </w:p>
    <w:p w:rsidR="00000000" w:rsidRPr="00F54BFF" w:rsidP="00F54BFF">
      <w:pPr>
        <w:pStyle w:val="ListBullet2"/>
      </w:pPr>
      <w:r w:rsidRPr="00F54BFF">
        <w:t>monitored preserving process and recognised a process deviation.</w:t>
      </w:r>
    </w:p>
    <w:p w:rsidR="00000000" w:rsidRPr="00F54BFF" w:rsidP="00F54BFF">
      <w:pPr>
        <w:pStyle w:val="AllowPageBreak"/>
      </w:pPr>
    </w:p>
    <w:p w:rsidR="00000000" w:rsidRPr="00F54BFF" w:rsidP="00F54BFF">
      <w:pPr>
        <w:pStyle w:val="Heading1"/>
      </w:pPr>
      <w:bookmarkStart w:id="3" w:name="O_993739"/>
      <w:bookmarkEnd w:id="3"/>
      <w:r w:rsidRPr="00F54BFF">
        <w:t>Knowledge Evidence</w:t>
      </w:r>
    </w:p>
    <w:p w:rsidR="00000000" w:rsidRPr="00F54BFF" w:rsidP="006E7E7D">
      <w:pPr>
        <w:pStyle w:val="BodyText"/>
      </w:pPr>
      <w:r w:rsidRPr="00F54BFF">
        <w:t>An individual must be able to demonstrate the knowledge required to perform the tasks outlined in the elements and performance criteria of this unit. This includes knowledge of:</w:t>
      </w:r>
    </w:p>
    <w:p w:rsidR="00000000" w:rsidRPr="00F54BFF" w:rsidP="00F54BFF">
      <w:pPr>
        <w:pStyle w:val="ListBullet"/>
      </w:pPr>
      <w:r w:rsidRPr="00F54BFF">
        <w:t>definition of commercial sterility</w:t>
      </w:r>
    </w:p>
    <w:p w:rsidR="00000000" w:rsidRPr="00F54BFF" w:rsidP="00F54BFF">
      <w:pPr>
        <w:pStyle w:val="ListBullet"/>
      </w:pPr>
      <w:r w:rsidRPr="00F54BFF">
        <w:t>factors that impact the thermal process</w:t>
      </w:r>
    </w:p>
    <w:p w:rsidR="00000000" w:rsidRPr="00F54BFF" w:rsidP="00F54BFF">
      <w:pPr>
        <w:pStyle w:val="ListBullet"/>
      </w:pPr>
      <w:r w:rsidRPr="00F54BFF">
        <w:t>ty</w:t>
      </w:r>
      <w:r w:rsidRPr="00F54BFF">
        <w:t>pes of thermal processing systems</w:t>
      </w:r>
    </w:p>
    <w:p w:rsidR="00000000" w:rsidRPr="00F54BFF" w:rsidP="00F54BFF">
      <w:pPr>
        <w:pStyle w:val="ListBullet"/>
      </w:pPr>
      <w:r w:rsidRPr="00F54BFF">
        <w:t>the principles and purposes for blanching</w:t>
      </w:r>
    </w:p>
    <w:p w:rsidR="00000000" w:rsidRPr="00F54BFF" w:rsidP="00F54BFF">
      <w:pPr>
        <w:pStyle w:val="ListBullet"/>
      </w:pPr>
      <w:r w:rsidRPr="00F54BFF">
        <w:t>the function and use of each system</w:t>
      </w:r>
    </w:p>
    <w:p w:rsidR="00000000" w:rsidRPr="00F54BFF" w:rsidP="00F54BFF">
      <w:pPr>
        <w:pStyle w:val="ListBullet"/>
      </w:pPr>
      <w:r w:rsidRPr="00F54BFF">
        <w:t>the parts of a retort/cooker</w:t>
      </w:r>
    </w:p>
    <w:p w:rsidR="00000000" w:rsidRPr="00F54BFF" w:rsidP="00F54BFF">
      <w:pPr>
        <w:pStyle w:val="ListBullet"/>
      </w:pPr>
      <w:r w:rsidRPr="00F54BFF">
        <w:t>principles of thermal processing, including use of a retort</w:t>
      </w:r>
    </w:p>
    <w:p w:rsidR="00000000" w:rsidRPr="00F54BFF" w:rsidP="00F54BFF">
      <w:pPr>
        <w:pStyle w:val="ListBullet"/>
      </w:pPr>
      <w:r w:rsidRPr="00F54BFF">
        <w:t>aseptic technique for packaging food under aseptic cond</w:t>
      </w:r>
      <w:r w:rsidRPr="00F54BFF">
        <w:t>itions</w:t>
      </w:r>
    </w:p>
    <w:p w:rsidR="00000000" w:rsidRPr="00F54BFF" w:rsidP="00F54BFF">
      <w:pPr>
        <w:pStyle w:val="ListBullet"/>
      </w:pPr>
      <w:r w:rsidRPr="00F54BFF">
        <w:t>characteristics of two-piece and three-piece (seamed) cans</w:t>
      </w:r>
    </w:p>
    <w:p w:rsidR="00000000" w:rsidRPr="00F54BFF" w:rsidP="00F54BFF">
      <w:pPr>
        <w:pStyle w:val="ListBullet"/>
      </w:pPr>
      <w:r w:rsidRPr="00F54BFF">
        <w:t>dicing, slicing, blanching and brining processes</w:t>
      </w:r>
    </w:p>
    <w:p w:rsidR="00000000" w:rsidRPr="00F54BFF" w:rsidP="00F54BFF">
      <w:pPr>
        <w:pStyle w:val="ListBullet"/>
      </w:pPr>
      <w:r w:rsidRPr="00F54BFF">
        <w:t>the types microorganisms relevant to the canning of low acid foods, including their basic structure and growth patterns</w:t>
      </w:r>
    </w:p>
    <w:p w:rsidR="00000000" w:rsidRPr="00F54BFF" w:rsidP="00F54BFF">
      <w:pPr>
        <w:pStyle w:val="ListBullet"/>
      </w:pPr>
      <w:r w:rsidRPr="00F54BFF">
        <w:t>D-value of microorgan</w:t>
      </w:r>
      <w:r w:rsidRPr="00F54BFF">
        <w:t>isms</w:t>
      </w:r>
    </w:p>
    <w:p w:rsidR="00000000" w:rsidRPr="00F54BFF" w:rsidP="00F54BFF">
      <w:pPr>
        <w:pStyle w:val="ListBullet"/>
      </w:pPr>
      <w:r w:rsidRPr="00F54BFF">
        <w:t>low acid foods, acidification and their relationship to the growth of organisms</w:t>
      </w:r>
    </w:p>
    <w:p w:rsidR="00000000" w:rsidRPr="00F54BFF" w:rsidP="00F54BFF">
      <w:pPr>
        <w:pStyle w:val="ListBullet"/>
      </w:pPr>
      <w:r w:rsidRPr="00F54BFF">
        <w:t>critical control points in preservation process</w:t>
      </w:r>
    </w:p>
    <w:p w:rsidR="00000000" w:rsidRPr="00F54BFF" w:rsidP="00F54BFF">
      <w:pPr>
        <w:pStyle w:val="ListBullet"/>
      </w:pPr>
      <w:r w:rsidRPr="00F54BFF">
        <w:t>the chemical properties and application of chlorine in canning, and how it affects microorganisms</w:t>
      </w:r>
    </w:p>
    <w:p w:rsidR="00000000" w:rsidRPr="00F54BFF" w:rsidP="00F54BFF">
      <w:pPr>
        <w:pStyle w:val="ListBullet"/>
      </w:pPr>
      <w:r w:rsidRPr="00F54BFF">
        <w:t>methodology for the measu</w:t>
      </w:r>
      <w:r w:rsidRPr="00F54BFF">
        <w:t>rement of chlorine in cooling water</w:t>
      </w:r>
    </w:p>
    <w:p w:rsidR="00000000" w:rsidRPr="00F54BFF" w:rsidP="00F54BFF">
      <w:pPr>
        <w:pStyle w:val="ListBullet"/>
      </w:pPr>
      <w:r w:rsidRPr="00F54BFF">
        <w:t>D, Z, J, Fo and Fh values</w:t>
      </w:r>
    </w:p>
    <w:p w:rsidR="00000000" w:rsidRPr="00F54BFF" w:rsidP="00F54BFF">
      <w:pPr>
        <w:pStyle w:val="ListBullet"/>
      </w:pPr>
      <w:r w:rsidRPr="00F54BFF">
        <w:t>Thermal Death Rate, Lethality value and Sterilisation value</w:t>
      </w:r>
    </w:p>
    <w:p w:rsidR="00000000" w:rsidRPr="00F54BFF" w:rsidP="00F54BFF">
      <w:pPr>
        <w:pStyle w:val="ListBullet"/>
      </w:pPr>
      <w:r w:rsidRPr="00F54BFF">
        <w:t>confidence intervals and tests of significance</w:t>
      </w:r>
    </w:p>
    <w:p w:rsidR="00000000" w:rsidRPr="00F54BFF" w:rsidP="00F54BFF">
      <w:pPr>
        <w:pStyle w:val="ListBullet"/>
      </w:pPr>
      <w:r w:rsidRPr="00F54BFF">
        <w:t>approximation</w:t>
      </w:r>
    </w:p>
    <w:p w:rsidR="00000000" w:rsidRPr="00F54BFF" w:rsidP="00F54BFF">
      <w:pPr>
        <w:pStyle w:val="ListBullet"/>
      </w:pPr>
      <w:r w:rsidRPr="00F54BFF">
        <w:t>principles of variability</w:t>
      </w:r>
    </w:p>
    <w:p w:rsidR="00000000" w:rsidRPr="00F54BFF" w:rsidP="00F54BFF">
      <w:pPr>
        <w:pStyle w:val="ListBullet"/>
      </w:pPr>
      <w:r w:rsidRPr="00F54BFF">
        <w:t>principles of variance</w:t>
      </w:r>
    </w:p>
    <w:p w:rsidR="00000000" w:rsidRPr="00F54BFF" w:rsidP="00F54BFF">
      <w:pPr>
        <w:pStyle w:val="ListBullet"/>
      </w:pPr>
      <w:r w:rsidRPr="00F54BFF">
        <w:t>relevant legislation and regulations that apply to the canning process of low acid foods</w:t>
      </w:r>
    </w:p>
    <w:p w:rsidR="00000000" w:rsidRPr="00F54BFF" w:rsidP="00F54BFF">
      <w:pPr>
        <w:pStyle w:val="ListBullet"/>
      </w:pPr>
      <w:r w:rsidRPr="00F54BFF">
        <w:t>health and safety in the workplace hazards and controls relating to work processes.</w:t>
      </w:r>
    </w:p>
    <w:p w:rsidR="00000000" w:rsidRPr="00F54BFF" w:rsidP="00F54BFF">
      <w:pPr>
        <w:pStyle w:val="AllowPageBreak"/>
      </w:pPr>
    </w:p>
    <w:p w:rsidR="00000000" w:rsidRPr="00F54BFF" w:rsidP="00F54BFF">
      <w:pPr>
        <w:pStyle w:val="Heading1"/>
      </w:pPr>
      <w:bookmarkStart w:id="4" w:name="O_993740"/>
      <w:bookmarkEnd w:id="4"/>
      <w:r w:rsidRPr="00F54BFF">
        <w:t>Assessment Conditions</w:t>
      </w:r>
    </w:p>
    <w:p w:rsidR="00000000" w:rsidRPr="00F54BFF" w:rsidP="006E7E7D">
      <w:pPr>
        <w:pStyle w:val="BodyText"/>
      </w:pPr>
      <w:r w:rsidRPr="00F54BFF">
        <w:t>Assessment of skills must take place under t</w:t>
      </w:r>
      <w:r w:rsidRPr="00F54BFF">
        <w:t xml:space="preserve">he following conditions: </w:t>
      </w:r>
    </w:p>
    <w:p w:rsidR="00000000" w:rsidRPr="00F54BFF" w:rsidP="00F54BFF">
      <w:pPr>
        <w:pStyle w:val="ListBullet"/>
      </w:pPr>
      <w:r w:rsidRPr="00F54BFF">
        <w:t>physical conditions:</w:t>
      </w:r>
    </w:p>
    <w:p w:rsidR="00000000" w:rsidRPr="00F54BFF" w:rsidP="00F54BFF">
      <w:pPr>
        <w:pStyle w:val="ListBullet2"/>
      </w:pPr>
      <w:r w:rsidRPr="00F54BFF">
        <w:t xml:space="preserve">skills must be demonstrated in a workplace setting or an environment that accurately represents a real food processing workplace </w:t>
      </w:r>
    </w:p>
    <w:p w:rsidR="00000000" w:rsidRPr="00F54BFF" w:rsidP="00F54BFF">
      <w:pPr>
        <w:pStyle w:val="ListBullet"/>
      </w:pPr>
      <w:r w:rsidRPr="00F54BFF">
        <w:t>resources, equipment and materials:</w:t>
      </w:r>
    </w:p>
    <w:p w:rsidR="00000000" w:rsidRPr="00F54BFF" w:rsidP="00F54BFF">
      <w:pPr>
        <w:pStyle w:val="ListBullet2"/>
      </w:pPr>
      <w:r w:rsidRPr="00F54BFF">
        <w:t xml:space="preserve">personal protective equipment required </w:t>
      </w:r>
      <w:r w:rsidRPr="00F54BFF">
        <w:t>for processing and sealing food into airtight containers</w:t>
      </w:r>
    </w:p>
    <w:p w:rsidR="00000000" w:rsidRPr="00F54BFF" w:rsidP="00F54BFF">
      <w:pPr>
        <w:pStyle w:val="ListBullet2"/>
      </w:pPr>
      <w:r w:rsidRPr="00F54BFF">
        <w:t>production process and related equipment, manufacturers’ advice and operating procedures</w:t>
      </w:r>
    </w:p>
    <w:p w:rsidR="00000000" w:rsidRPr="00F54BFF" w:rsidP="00F54BFF">
      <w:pPr>
        <w:pStyle w:val="ListBullet2"/>
      </w:pPr>
      <w:r w:rsidRPr="00F54BFF">
        <w:t>equipment and facilities for carrying out canning processes and testing of thermally processed products</w:t>
      </w:r>
    </w:p>
    <w:p w:rsidR="00000000" w:rsidRPr="00F54BFF" w:rsidP="00F54BFF">
      <w:pPr>
        <w:pStyle w:val="ListBullet"/>
      </w:pPr>
      <w:r w:rsidRPr="00F54BFF">
        <w:t>specifications:</w:t>
      </w:r>
    </w:p>
    <w:p w:rsidR="00000000" w:rsidRPr="00F54BFF" w:rsidP="00F54BFF">
      <w:pPr>
        <w:pStyle w:val="ListBullet2"/>
      </w:pPr>
      <w:r w:rsidRPr="00F54BFF">
        <w:t>methods and related software systems as required for carrying out food testing and preservation, and collecting data.</w:t>
      </w:r>
    </w:p>
    <w:p w:rsidR="00000000" w:rsidRPr="00F54BFF" w:rsidP="006E7E7D">
      <w:pPr>
        <w:pStyle w:val="BodyText"/>
      </w:pPr>
      <w:r w:rsidRPr="00F54BFF">
        <w:t>Assessors of this unit must satisfy the requirements for assessors in applicable vocational education and training legisl</w:t>
      </w:r>
      <w:r w:rsidRPr="00F54BFF">
        <w:t>ation, frameworks and/or standards.</w:t>
      </w:r>
    </w:p>
    <w:p w:rsidR="00000000" w:rsidRPr="00F54BFF" w:rsidP="00F54BFF">
      <w:pPr>
        <w:pStyle w:val="Heading1"/>
      </w:pPr>
      <w:bookmarkStart w:id="5" w:name="O_993743"/>
      <w:bookmarkEnd w:id="5"/>
      <w:r w:rsidRPr="00F54BFF">
        <w:t>Links</w:t>
      </w:r>
    </w:p>
    <w:p w:rsidR="00000000" w:rsidRPr="00F54BFF" w:rsidP="006E7E7D">
      <w:pPr>
        <w:pStyle w:val="BodyText"/>
      </w:pPr>
      <w:r w:rsidRPr="00F54BF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F4AE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54BFF" w:rsidP="00F54BFF"/>
    <w:sectPr w:rsidSect="00F54B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B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BFF" w:rsidRPr="006E7E7D" w:rsidP="006E7E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B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E7D" w:rsidP="00F54B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7E7D" w:rsidP="00F54B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E7E7D" w:rsidP="00F54B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B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E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4BFF" w:rsidRPr="006E7E7D" w:rsidP="006E7E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B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E7D" w:rsidRPr="002D2AF8" w:rsidP="00F54B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FBPFST4008 Preserve food in cans or sealed containers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6E7E7D" w:rsidP="00F54B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A038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0A99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C621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B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4B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4B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4B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4B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4B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4B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4B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4B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4B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4B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4BFF"/>
  </w:style>
  <w:style w:type="character" w:customStyle="1" w:styleId="Heading1Char">
    <w:name w:val="Heading 1 Char"/>
    <w:basedOn w:val="DefaultParagraphFont"/>
    <w:link w:val="Heading1"/>
    <w:rsid w:val="00F54B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4B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4B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4B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4BFF"/>
    <w:rPr>
      <w:b/>
      <w:spacing w:val="0"/>
    </w:rPr>
  </w:style>
  <w:style w:type="paragraph" w:styleId="ListBullet2">
    <w:name w:val="List Bullet 2"/>
    <w:basedOn w:val="List2"/>
    <w:rsid w:val="00F54BF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4B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4B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4B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4B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4B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4B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4B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4B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4B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4B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4B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4B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4B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4B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4B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4B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4B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4B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4B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4B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4B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4B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4B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4B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4B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4B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4B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4B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4B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4B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4B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4B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4B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4B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4BFF"/>
    <w:rPr>
      <w:i/>
    </w:rPr>
  </w:style>
  <w:style w:type="paragraph" w:styleId="Caption">
    <w:name w:val="caption"/>
    <w:basedOn w:val="BodyText"/>
    <w:next w:val="Normal"/>
    <w:qFormat/>
    <w:rsid w:val="00F54B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4B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4B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4BFF"/>
  </w:style>
  <w:style w:type="paragraph" w:styleId="TableofFigures">
    <w:name w:val="table of figures"/>
    <w:basedOn w:val="Normal"/>
    <w:next w:val="Normal"/>
    <w:semiHidden/>
    <w:rsid w:val="00F54B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4B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4BFF"/>
    <w:rPr>
      <w:rFonts w:ascii="Wingdings" w:hAnsi="Wingdings"/>
    </w:rPr>
  </w:style>
  <w:style w:type="paragraph" w:customStyle="1" w:styleId="TableHeading">
    <w:name w:val="Table Heading"/>
    <w:basedOn w:val="HeadingBase"/>
    <w:rsid w:val="00F54B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4BFF"/>
    <w:rPr>
      <w:color w:val="0033CC"/>
      <w:u w:val="none"/>
    </w:rPr>
  </w:style>
  <w:style w:type="paragraph" w:customStyle="1" w:styleId="BodyTextRight">
    <w:name w:val="Body Text Right"/>
    <w:basedOn w:val="BodyText"/>
    <w:rsid w:val="00F54B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4B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4B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4B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4B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4B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4BFF"/>
    <w:rPr>
      <w:sz w:val="32"/>
    </w:rPr>
  </w:style>
  <w:style w:type="paragraph" w:customStyle="1" w:styleId="HeadingProcedure">
    <w:name w:val="Heading Procedure"/>
    <w:basedOn w:val="HeadingBase"/>
    <w:next w:val="Normal"/>
    <w:rsid w:val="00F54B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4BFF"/>
    <w:pPr>
      <w:spacing w:before="60" w:after="60"/>
    </w:pPr>
  </w:style>
  <w:style w:type="paragraph" w:styleId="ListContinue">
    <w:name w:val="List Continue"/>
    <w:basedOn w:val="List"/>
    <w:rsid w:val="00F54BFF"/>
    <w:pPr>
      <w:ind w:firstLine="0"/>
    </w:pPr>
  </w:style>
  <w:style w:type="paragraph" w:customStyle="1" w:styleId="ListNote">
    <w:name w:val="List Note"/>
    <w:basedOn w:val="List"/>
    <w:rsid w:val="00F54B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4B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4B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4BFF"/>
    <w:rPr>
      <w:rFonts w:ascii="Courier New" w:hAnsi="Courier New"/>
    </w:rPr>
  </w:style>
  <w:style w:type="paragraph" w:customStyle="1" w:styleId="NoteBullet">
    <w:name w:val="Note Bullet"/>
    <w:basedOn w:val="Note"/>
    <w:rsid w:val="00F54B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4B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4B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4B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4B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4B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4B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4BFF"/>
    <w:rPr>
      <w:b/>
      <w:smallCaps/>
    </w:rPr>
  </w:style>
  <w:style w:type="paragraph" w:customStyle="1" w:styleId="TableListNumber">
    <w:name w:val="Table List Number"/>
    <w:basedOn w:val="ListNumber"/>
    <w:rsid w:val="00F54B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4B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4BFF"/>
    <w:pPr>
      <w:numPr>
        <w:numId w:val="9"/>
      </w:numPr>
    </w:pPr>
  </w:style>
  <w:style w:type="paragraph" w:customStyle="1" w:styleId="ListAlpha2">
    <w:name w:val="List Alpha 2"/>
    <w:basedOn w:val="List2"/>
    <w:rsid w:val="00F54BFF"/>
    <w:pPr>
      <w:numPr>
        <w:numId w:val="8"/>
      </w:numPr>
    </w:pPr>
  </w:style>
  <w:style w:type="paragraph" w:styleId="List2">
    <w:name w:val="List 2"/>
    <w:basedOn w:val="BodyText"/>
    <w:rsid w:val="00F54B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4B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4B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4B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4B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4B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4BFF"/>
    <w:pPr>
      <w:numPr>
        <w:numId w:val="4"/>
      </w:numPr>
    </w:pPr>
  </w:style>
  <w:style w:type="paragraph" w:styleId="ListContinue2">
    <w:name w:val="List Continue 2"/>
    <w:basedOn w:val="List2"/>
    <w:rsid w:val="00F54BFF"/>
    <w:pPr>
      <w:ind w:firstLine="0"/>
    </w:pPr>
  </w:style>
  <w:style w:type="paragraph" w:styleId="ListContinue3">
    <w:name w:val="List Continue 3"/>
    <w:basedOn w:val="List3"/>
    <w:rsid w:val="00F54BFF"/>
    <w:pPr>
      <w:ind w:left="1021" w:firstLine="0"/>
    </w:pPr>
  </w:style>
  <w:style w:type="paragraph" w:styleId="ListContinue4">
    <w:name w:val="List Continue 4"/>
    <w:basedOn w:val="List4"/>
    <w:rsid w:val="00F54BFF"/>
    <w:pPr>
      <w:ind w:firstLine="0"/>
    </w:pPr>
  </w:style>
  <w:style w:type="paragraph" w:styleId="ListContinue5">
    <w:name w:val="List Continue 5"/>
    <w:basedOn w:val="List5"/>
    <w:rsid w:val="00F54BFF"/>
    <w:pPr>
      <w:ind w:firstLine="0"/>
    </w:pPr>
  </w:style>
  <w:style w:type="paragraph" w:styleId="ListNumber3">
    <w:name w:val="List Number 3"/>
    <w:basedOn w:val="List3"/>
    <w:rsid w:val="00F54BFF"/>
    <w:pPr>
      <w:numPr>
        <w:numId w:val="5"/>
      </w:numPr>
    </w:pPr>
  </w:style>
  <w:style w:type="paragraph" w:styleId="ListNumber4">
    <w:name w:val="List Number 4"/>
    <w:basedOn w:val="List4"/>
    <w:rsid w:val="00F54BFF"/>
    <w:pPr>
      <w:numPr>
        <w:numId w:val="6"/>
      </w:numPr>
    </w:pPr>
  </w:style>
  <w:style w:type="paragraph" w:styleId="ListNumber5">
    <w:name w:val="List Number 5"/>
    <w:basedOn w:val="List5"/>
    <w:rsid w:val="00F54BFF"/>
    <w:pPr>
      <w:numPr>
        <w:numId w:val="7"/>
      </w:numPr>
    </w:pPr>
  </w:style>
  <w:style w:type="paragraph" w:styleId="BlockText">
    <w:name w:val="Block Text"/>
    <w:basedOn w:val="Normal"/>
    <w:rsid w:val="00F54B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4B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4BFF"/>
    <w:rPr>
      <w:sz w:val="16"/>
      <w:vertAlign w:val="superscript"/>
    </w:rPr>
  </w:style>
  <w:style w:type="character" w:customStyle="1" w:styleId="Symbols">
    <w:name w:val="Symbols"/>
    <w:basedOn w:val="DefaultParagraphFont"/>
    <w:rsid w:val="00F54BFF"/>
    <w:rPr>
      <w:rFonts w:ascii="Symbol" w:hAnsi="Symbol"/>
    </w:rPr>
  </w:style>
  <w:style w:type="character" w:customStyle="1" w:styleId="MenuOptions">
    <w:name w:val="Menu Options"/>
    <w:basedOn w:val="DefaultParagraphFont"/>
    <w:rsid w:val="00F54B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4BFF"/>
    <w:rPr>
      <w:b/>
    </w:rPr>
  </w:style>
  <w:style w:type="character" w:customStyle="1" w:styleId="Underlined">
    <w:name w:val="Underlined"/>
    <w:basedOn w:val="DefaultParagraphFont"/>
    <w:rsid w:val="00F54BFF"/>
    <w:rPr>
      <w:u w:val="single"/>
    </w:rPr>
  </w:style>
  <w:style w:type="paragraph" w:customStyle="1" w:styleId="TableBodyTextRight">
    <w:name w:val="Table Body Text Right"/>
    <w:basedOn w:val="TableBodyText"/>
    <w:rsid w:val="00F54B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4BFF"/>
    <w:rPr>
      <w:sz w:val="18"/>
    </w:rPr>
  </w:style>
  <w:style w:type="paragraph" w:customStyle="1" w:styleId="BodySmallRight">
    <w:name w:val="Body Small Right"/>
    <w:basedOn w:val="BodyTextRight"/>
    <w:rsid w:val="00F54BFF"/>
    <w:rPr>
      <w:sz w:val="18"/>
      <w:szCs w:val="18"/>
    </w:rPr>
  </w:style>
  <w:style w:type="paragraph" w:customStyle="1" w:styleId="MarginEdition">
    <w:name w:val="Margin Edition"/>
    <w:basedOn w:val="MarginNote"/>
    <w:rsid w:val="00F54B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4BFF"/>
    <w:rPr>
      <w:sz w:val="2"/>
      <w:szCs w:val="2"/>
    </w:rPr>
  </w:style>
  <w:style w:type="character" w:customStyle="1" w:styleId="Small">
    <w:name w:val="Small"/>
    <w:basedOn w:val="DefaultParagraphFont"/>
    <w:rsid w:val="00F54BFF"/>
    <w:rPr>
      <w:sz w:val="16"/>
    </w:rPr>
  </w:style>
  <w:style w:type="paragraph" w:customStyle="1" w:styleId="WideTable">
    <w:name w:val="Wide Table"/>
    <w:basedOn w:val="Normal"/>
    <w:rsid w:val="00F54B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4BFF"/>
  </w:style>
  <w:style w:type="paragraph" w:styleId="Quote">
    <w:name w:val="Quote"/>
    <w:basedOn w:val="Heading1"/>
    <w:link w:val="QuoteChar"/>
    <w:qFormat/>
    <w:rsid w:val="00F54B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4B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4BFF"/>
    <w:pPr>
      <w:pageBreakBefore/>
    </w:pPr>
  </w:style>
  <w:style w:type="paragraph" w:customStyle="1" w:styleId="Border">
    <w:name w:val="Border"/>
    <w:basedOn w:val="Normal"/>
    <w:qFormat/>
    <w:rsid w:val="00F54B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4B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B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B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4B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4B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4B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4B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4B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4BFF"/>
    <w:rPr>
      <w:u w:val="single"/>
    </w:rPr>
  </w:style>
  <w:style w:type="character" w:customStyle="1" w:styleId="BoldandItalics">
    <w:name w:val="Bold and Italics"/>
    <w:qFormat/>
    <w:rsid w:val="00F54BFF"/>
    <w:rPr>
      <w:b/>
      <w:i/>
      <w:u w:val="none"/>
    </w:rPr>
  </w:style>
  <w:style w:type="paragraph" w:styleId="BalloonText">
    <w:name w:val="Balloon Text"/>
    <w:basedOn w:val="Normal"/>
    <w:link w:val="BalloonTextChar"/>
    <w:rsid w:val="00F54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4B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4B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4B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4B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4B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4BFF"/>
    <w:pPr>
      <w:spacing w:before="0" w:after="0"/>
    </w:pPr>
  </w:style>
  <w:style w:type="paragraph" w:customStyle="1" w:styleId="BodyTextBold">
    <w:name w:val="Body Text Bold"/>
    <w:basedOn w:val="BodyText"/>
    <w:qFormat/>
    <w:rsid w:val="00F54BFF"/>
    <w:rPr>
      <w:b/>
    </w:rPr>
  </w:style>
  <w:style w:type="character" w:styleId="Hyperlink">
    <w:name w:val="Hyperlink"/>
    <w:basedOn w:val="DefaultParagraphFont"/>
    <w:uiPriority w:val="99"/>
    <w:unhideWhenUsed/>
    <w:rsid w:val="006E7E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3729</Characters>
  <Application>Microsoft Office Word</Application>
  <DocSecurity>0</DocSecurity>
  <Lines>98</Lines>
  <Paragraphs>78</Paragraphs>
  <ScaleCrop>false</ScaleCrop>
  <Company>Author-it Software Corporation Ltd.</Company>
  <LinksUpToDate>false</LinksUpToDate>
  <CharactersWithSpaces>4240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FBPFST4008 Preserve food in cans or sealed containers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2023-01-25T14:54:00Z</dcterms:created>
  <dcterms:modified xsi:type="dcterms:W3CDTF">2023-01-25T14:54:00Z</dcterms:modified>
</cp:coreProperties>
</file>