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CCD" w:rsidP="000E4C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FBPFST4001 Apply food processing technologies</w:t>
      </w:r>
      <w:r>
        <w:fldChar w:fldCharType="end"/>
      </w:r>
    </w:p>
    <w:p w:rsidR="000E4CCD" w:rsidP="000E4CCD">
      <w:pPr>
        <w:pStyle w:val="Version"/>
        <w:sectPr w:rsidSect="002753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3A2" w:rsidP="002753A2">
      <w:pPr>
        <w:pStyle w:val="SuperHeading"/>
      </w:pPr>
      <w:r w:rsidRPr="002753A2">
        <w:t>FBPFST4001 Apply food processing technologies</w:t>
      </w:r>
    </w:p>
    <w:p w:rsidR="00000000" w:rsidRPr="002753A2" w:rsidP="002753A2">
      <w:pPr>
        <w:pStyle w:val="Heading1"/>
      </w:pPr>
      <w:bookmarkStart w:id="1" w:name="O_993309"/>
      <w:bookmarkEnd w:id="1"/>
      <w:r w:rsidRPr="002753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rPr>
                <w:rStyle w:val="SpecialBold"/>
              </w:rPr>
              <w:t>Comments</w:t>
            </w:r>
          </w:p>
        </w:tc>
      </w:tr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This version released with the FBP Food, Beverage and Pharmaceutical Training Package Version 2.0.</w:t>
            </w:r>
          </w:p>
        </w:tc>
      </w:tr>
    </w:tbl>
    <w:p w:rsidR="00000000" w:rsidRPr="002753A2" w:rsidP="002753A2">
      <w:pPr>
        <w:pStyle w:val="BodyText"/>
      </w:pPr>
    </w:p>
    <w:p w:rsidR="00000000" w:rsidRPr="002753A2" w:rsidP="002753A2">
      <w:pPr>
        <w:pStyle w:val="AllowPageBreak"/>
      </w:pPr>
    </w:p>
    <w:p w:rsidR="00000000" w:rsidRPr="002753A2" w:rsidP="002753A2">
      <w:pPr>
        <w:pStyle w:val="Heading1"/>
      </w:pPr>
      <w:bookmarkStart w:id="2" w:name="O_993310"/>
      <w:bookmarkEnd w:id="2"/>
      <w:r w:rsidRPr="002753A2">
        <w:t>Application</w:t>
      </w:r>
    </w:p>
    <w:p w:rsidR="00000000" w:rsidRPr="002753A2" w:rsidP="000E4CCD">
      <w:pPr>
        <w:pStyle w:val="BodyText"/>
      </w:pPr>
      <w:r w:rsidRPr="002753A2">
        <w:t>This unit of competency describes the skills and knowledge required t</w:t>
      </w:r>
      <w:r w:rsidRPr="002753A2">
        <w:t>o implement fermentation, concentration and drying, cooking or steaming processes, and to review and monitor their effectiveness and efficiency based on an understanding of food science and technology.</w:t>
      </w:r>
    </w:p>
    <w:p w:rsidR="00000000" w:rsidRPr="002753A2" w:rsidP="000E4CCD">
      <w:pPr>
        <w:pStyle w:val="BodyText"/>
      </w:pPr>
      <w:r w:rsidRPr="002753A2">
        <w:t>The unit applies to individuals who have responsibilit</w:t>
      </w:r>
      <w:r w:rsidRPr="002753A2">
        <w:t>y for maintaining product safety, quality and the production environment.</w:t>
      </w:r>
    </w:p>
    <w:p w:rsidR="00000000" w:rsidRPr="002753A2" w:rsidP="000E4CCD">
      <w:pPr>
        <w:pStyle w:val="BodyText"/>
      </w:pPr>
      <w:r w:rsidRPr="002753A2">
        <w:t>Legislative and regulatory requirements apply to food safety and are enforced through state/territory jurisdictions. Users must check with the relevant regulatory authority before de</w:t>
      </w:r>
      <w:r w:rsidRPr="002753A2">
        <w:t>livery.</w:t>
      </w:r>
    </w:p>
    <w:p w:rsidR="00000000" w:rsidRPr="002753A2" w:rsidP="002753A2">
      <w:pPr>
        <w:pStyle w:val="Heading1"/>
      </w:pPr>
      <w:bookmarkStart w:id="3" w:name="O_993311"/>
      <w:bookmarkEnd w:id="3"/>
      <w:r w:rsidRPr="002753A2">
        <w:t>Pre-requisite Unit</w:t>
      </w:r>
    </w:p>
    <w:p w:rsidR="00000000" w:rsidRPr="002753A2" w:rsidP="000E4CCD">
      <w:pPr>
        <w:pStyle w:val="BodyText"/>
      </w:pPr>
      <w:r w:rsidRPr="002753A2">
        <w:t>Nil</w:t>
      </w:r>
    </w:p>
    <w:p w:rsidR="00000000" w:rsidRPr="002753A2" w:rsidP="002753A2">
      <w:pPr>
        <w:pStyle w:val="Heading1"/>
      </w:pPr>
      <w:bookmarkStart w:id="4" w:name="O_993313"/>
      <w:bookmarkEnd w:id="4"/>
      <w:r w:rsidRPr="002753A2">
        <w:t>Unit Sector</w:t>
      </w:r>
    </w:p>
    <w:p w:rsidR="00000000" w:rsidRPr="002753A2" w:rsidP="000E4CCD">
      <w:pPr>
        <w:pStyle w:val="BodyText"/>
      </w:pPr>
      <w:r w:rsidRPr="002753A2">
        <w:t>Food science and technology (FST)</w:t>
      </w:r>
    </w:p>
    <w:p w:rsidR="00000000" w:rsidRPr="002753A2" w:rsidP="002753A2">
      <w:pPr>
        <w:pStyle w:val="Heading1"/>
      </w:pPr>
      <w:bookmarkStart w:id="5" w:name="O_993314"/>
      <w:bookmarkEnd w:id="5"/>
      <w:r w:rsidRPr="002753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rPr>
                <w:rStyle w:val="SpecialBold"/>
              </w:rPr>
              <w:t>Performance Criteria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1. Carry out fermentation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1.1 Prepare materials and equipment for a fermentation process</w:t>
            </w:r>
          </w:p>
          <w:p w:rsidR="00000000" w:rsidRPr="002753A2" w:rsidP="002753A2">
            <w:pPr>
              <w:pStyle w:val="BodyText"/>
            </w:pPr>
            <w:r w:rsidRPr="002753A2">
              <w:t>1.2 Apply and monitor a ferment</w:t>
            </w:r>
            <w:r w:rsidRPr="002753A2">
              <w:t>ation process</w:t>
            </w: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 xml:space="preserve">1.3 Test and evaluate the fermented product 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 xml:space="preserve">2. Review a fermentation </w:t>
            </w:r>
            <w:r w:rsidRPr="002753A2">
              <w:t>process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 xml:space="preserve">2.1 Review the critical control points (CCPs) and critical limits for </w:t>
            </w:r>
            <w:r w:rsidRPr="002753A2">
              <w:t>product safety</w:t>
            </w:r>
          </w:p>
          <w:p w:rsidR="00000000" w:rsidRPr="002753A2" w:rsidP="002753A2">
            <w:pPr>
              <w:pStyle w:val="BodyText"/>
            </w:pPr>
            <w:r w:rsidRPr="002753A2">
              <w:t>2.2 Review operating procedures for food safety and quality in fermentation</w:t>
            </w:r>
          </w:p>
          <w:p w:rsidR="00000000" w:rsidRPr="002753A2" w:rsidP="002753A2">
            <w:pPr>
              <w:pStyle w:val="BodyText"/>
            </w:pPr>
            <w:r w:rsidRPr="002753A2">
              <w:t>2.3 Review the food safety and production plans for the fermentation process</w:t>
            </w:r>
          </w:p>
          <w:p w:rsidR="00000000" w:rsidRPr="002753A2" w:rsidP="002753A2">
            <w:pPr>
              <w:pStyle w:val="BodyText"/>
            </w:pPr>
            <w:r w:rsidRPr="002753A2">
              <w:t>2.4 Review environmental impacts and associated costs for fermentation in commercial food production</w:t>
            </w: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2.</w:t>
            </w:r>
            <w:r w:rsidRPr="002753A2">
              <w:t>5 Take corrective action in response to out-of-specification results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3. Carry out concentration and drying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3.1 Prepare materials and equipment for a concentration and drying process</w:t>
            </w:r>
          </w:p>
          <w:p w:rsidR="00000000" w:rsidRPr="002753A2" w:rsidP="002753A2">
            <w:pPr>
              <w:pStyle w:val="BodyText"/>
            </w:pPr>
            <w:r w:rsidRPr="002753A2">
              <w:t>3.2 Apply and monitor a concentrat</w:t>
            </w:r>
            <w:r w:rsidRPr="002753A2">
              <w:t>ion and drying process</w:t>
            </w: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3.3 Test and evaluate the concentrated and dried food product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4. Review a concentration and drying process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4.1 Review the CCPs and critical limits for product safety</w:t>
            </w:r>
          </w:p>
          <w:p w:rsidR="00000000" w:rsidRPr="002753A2" w:rsidP="002753A2">
            <w:pPr>
              <w:pStyle w:val="BodyText"/>
            </w:pPr>
            <w:r w:rsidRPr="002753A2">
              <w:t xml:space="preserve">4.2 Review operating procedures for </w:t>
            </w:r>
            <w:r w:rsidRPr="002753A2">
              <w:t>food safety and quality in concentration and drying</w:t>
            </w:r>
          </w:p>
          <w:p w:rsidR="00000000" w:rsidRPr="002753A2" w:rsidP="002753A2">
            <w:pPr>
              <w:pStyle w:val="BodyText"/>
            </w:pPr>
            <w:r w:rsidRPr="002753A2">
              <w:t>4.3 Review the food safety and production plan for the concentration and drying process</w:t>
            </w:r>
          </w:p>
          <w:p w:rsidR="00000000" w:rsidRPr="002753A2" w:rsidP="002753A2">
            <w:pPr>
              <w:pStyle w:val="BodyText"/>
            </w:pPr>
            <w:r w:rsidRPr="002753A2">
              <w:t>4.4 Review environmental impacts and associated costs for concentration and drying in commercial food production</w:t>
            </w: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4.5</w:t>
            </w:r>
            <w:r w:rsidRPr="002753A2">
              <w:t xml:space="preserve"> Take corrective action in response to out-of-specification results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5. Carry out cooking or steaming as part of food or beverage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5.1 Prepare materials and equipment for a cooking or steaming process</w:t>
            </w:r>
          </w:p>
          <w:p w:rsidR="00000000" w:rsidRPr="002753A2" w:rsidP="002753A2">
            <w:pPr>
              <w:pStyle w:val="BodyText"/>
            </w:pPr>
            <w:r w:rsidRPr="002753A2">
              <w:t>5.2 Apply and monitor a cooking or steaming p</w:t>
            </w:r>
            <w:r w:rsidRPr="002753A2">
              <w:t>rocess</w:t>
            </w: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 xml:space="preserve">5.3 Test and evaluate the cooked or steamed food product </w:t>
            </w:r>
          </w:p>
        </w:tc>
      </w:tr>
      <w:tr w:rsidTr="000E4C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6. Review a cooking or steaming operation for a commercial food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6.1 Review the CCPs and critical limits for product safety</w:t>
            </w:r>
          </w:p>
          <w:p w:rsidR="00000000" w:rsidRPr="002753A2" w:rsidP="002753A2">
            <w:pPr>
              <w:pStyle w:val="BodyText"/>
            </w:pPr>
            <w:r w:rsidRPr="002753A2">
              <w:t>6.2 Review operating procedures for food safety and quality in cooking or steaming</w:t>
            </w:r>
          </w:p>
          <w:p w:rsidR="00000000" w:rsidRPr="002753A2" w:rsidP="002753A2">
            <w:pPr>
              <w:pStyle w:val="BodyText"/>
            </w:pPr>
            <w:r w:rsidRPr="002753A2">
              <w:t>6.3 Review the food safety and production plan for the cooking or steaming process</w:t>
            </w:r>
          </w:p>
          <w:p w:rsidR="00000000" w:rsidRPr="002753A2" w:rsidP="002753A2">
            <w:pPr>
              <w:pStyle w:val="BodyText"/>
            </w:pPr>
            <w:r w:rsidRPr="002753A2">
              <w:t>6.4 Review environmental impacts and associated costs for cooking or steaming in commercia</w:t>
            </w:r>
            <w:r w:rsidRPr="002753A2">
              <w:t>l food production</w:t>
            </w:r>
          </w:p>
          <w:p w:rsidR="00000000" w:rsidRPr="002753A2" w:rsidP="002753A2">
            <w:pPr>
              <w:pStyle w:val="BodyText"/>
            </w:pPr>
            <w:r w:rsidRPr="002753A2">
              <w:t>6.5 Take corrective action in response to out-of-specification results</w:t>
            </w:r>
          </w:p>
        </w:tc>
      </w:tr>
    </w:tbl>
    <w:p w:rsidR="00000000" w:rsidRPr="002753A2" w:rsidP="002753A2">
      <w:pPr>
        <w:pStyle w:val="BodyText"/>
      </w:pPr>
    </w:p>
    <w:p w:rsidR="00000000" w:rsidRPr="002753A2" w:rsidP="002753A2">
      <w:pPr>
        <w:pStyle w:val="AllowPageBreak"/>
      </w:pPr>
    </w:p>
    <w:p w:rsidR="00000000" w:rsidRPr="002753A2" w:rsidP="002753A2">
      <w:pPr>
        <w:pStyle w:val="Heading1"/>
      </w:pPr>
      <w:bookmarkStart w:id="6" w:name="O_993315"/>
      <w:bookmarkEnd w:id="6"/>
      <w:r w:rsidRPr="002753A2">
        <w:t>Foundation Skills</w:t>
      </w:r>
    </w:p>
    <w:p w:rsidR="00000000" w:rsidRPr="000E4CCD" w:rsidP="000E4CCD">
      <w:pPr>
        <w:pStyle w:val="BodyText"/>
        <w:rPr>
          <w:i/>
        </w:rPr>
      </w:pPr>
      <w:r w:rsidRPr="000E4CCD">
        <w:rPr>
          <w:rStyle w:val="Emphasis"/>
        </w:rPr>
        <w:t>This section describes those language, literacy, numeracy and employment skills that are essential for performance in this unit of</w:t>
      </w:r>
      <w:r w:rsidRPr="000E4CCD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rPr>
                <w:rStyle w:val="SpecialBold"/>
              </w:rPr>
              <w:t>Description</w:t>
            </w:r>
          </w:p>
        </w:tc>
      </w:tr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ListBullet"/>
            </w:pPr>
            <w:r w:rsidRPr="002753A2">
              <w:t>Interpret manuals, diagrams, drawings and other technical information relevant to food processing technologies</w:t>
            </w:r>
          </w:p>
          <w:p w:rsidR="00000000" w:rsidRPr="002753A2" w:rsidP="002753A2">
            <w:pPr>
              <w:pStyle w:val="ListBullet"/>
            </w:pPr>
            <w:r w:rsidRPr="002753A2">
              <w:t>Interpret procedures for test equipment</w:t>
            </w:r>
          </w:p>
          <w:p w:rsidR="00000000" w:rsidRPr="002753A2" w:rsidP="002753A2">
            <w:pPr>
              <w:pStyle w:val="ListBullet"/>
            </w:pPr>
            <w:r w:rsidRPr="002753A2">
              <w:t>Interpret food safety guidelines and regulations</w:t>
            </w:r>
          </w:p>
          <w:p w:rsidR="00000000" w:rsidP="002753A2">
            <w:pPr>
              <w:pStyle w:val="ListBullet"/>
              <w:rPr>
                <w:lang w:val="en-NZ"/>
              </w:rPr>
            </w:pPr>
            <w:r w:rsidRPr="002753A2">
              <w:t>Interpret environmental management procedures and plans for different types of food processing technologies</w:t>
            </w:r>
          </w:p>
        </w:tc>
      </w:tr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ListBullet"/>
            </w:pPr>
            <w:r w:rsidRPr="002753A2">
              <w:t>Document biochemical and biological changes to food products and testing criteria</w:t>
            </w:r>
          </w:p>
          <w:p w:rsidR="00000000" w:rsidP="002753A2">
            <w:pPr>
              <w:pStyle w:val="ListBullet"/>
              <w:rPr>
                <w:lang w:val="en-NZ"/>
              </w:rPr>
            </w:pPr>
            <w:r w:rsidRPr="002753A2">
              <w:t>Documen</w:t>
            </w:r>
            <w:r w:rsidRPr="002753A2">
              <w:t>t effectiveness and efficiency of food processing technologies</w:t>
            </w:r>
          </w:p>
        </w:tc>
      </w:tr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ListBullet"/>
            </w:pPr>
            <w:r w:rsidRPr="002753A2">
              <w:t>Monitor and adjust critical limits for processing a food product, including time and temperature, weights, flow rates and flow diversion</w:t>
            </w:r>
          </w:p>
          <w:p w:rsidR="00000000" w:rsidRPr="002753A2" w:rsidP="002753A2">
            <w:pPr>
              <w:pStyle w:val="ListBullet"/>
            </w:pPr>
            <w:r w:rsidRPr="002753A2">
              <w:t>Determine calibration procedures and schedule</w:t>
            </w:r>
            <w:r w:rsidRPr="002753A2">
              <w:t xml:space="preserve"> for test equipment</w:t>
            </w:r>
          </w:p>
        </w:tc>
      </w:tr>
    </w:tbl>
    <w:p w:rsidR="00000000" w:rsidRPr="002753A2" w:rsidP="002753A2">
      <w:pPr>
        <w:pStyle w:val="BodyText"/>
      </w:pPr>
    </w:p>
    <w:p w:rsidR="00000000" w:rsidRPr="002753A2" w:rsidP="002753A2">
      <w:pPr>
        <w:pStyle w:val="AllowPageBreak"/>
      </w:pPr>
    </w:p>
    <w:p w:rsidR="00000000" w:rsidRPr="002753A2" w:rsidP="002753A2">
      <w:pPr>
        <w:pStyle w:val="Heading1"/>
      </w:pPr>
      <w:bookmarkStart w:id="7" w:name="O_993317"/>
      <w:bookmarkEnd w:id="7"/>
      <w:r w:rsidRPr="002753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rPr>
                <w:rStyle w:val="SpecialBold"/>
              </w:rPr>
              <w:t>Equivalence status</w:t>
            </w:r>
          </w:p>
        </w:tc>
      </w:tr>
      <w:tr w:rsidTr="002753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FBPFST4001 Apply food processing technologies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FDFFST4001A Apply food processing technologies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Updated to meet Standards for Training Packages</w:t>
            </w:r>
          </w:p>
          <w:p w:rsidR="00000000" w:rsidRPr="002753A2" w:rsidP="002753A2">
            <w:pPr>
              <w:pStyle w:val="BodyText"/>
            </w:pPr>
          </w:p>
          <w:p w:rsidR="00000000" w:rsidP="002753A2">
            <w:pPr>
              <w:pStyle w:val="BodyText"/>
              <w:rPr>
                <w:lang w:val="en-NZ"/>
              </w:rPr>
            </w:pPr>
            <w:r w:rsidRPr="002753A2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3A2" w:rsidP="002753A2">
            <w:pPr>
              <w:pStyle w:val="BodyText"/>
            </w:pPr>
            <w:r w:rsidRPr="002753A2">
              <w:t>Equivalent unit</w:t>
            </w:r>
          </w:p>
        </w:tc>
      </w:tr>
    </w:tbl>
    <w:p w:rsidR="00000000" w:rsidRPr="002753A2" w:rsidP="002753A2">
      <w:pPr>
        <w:pStyle w:val="BodyText"/>
      </w:pPr>
    </w:p>
    <w:p w:rsidR="00000000" w:rsidRPr="002753A2" w:rsidP="002753A2">
      <w:pPr>
        <w:pStyle w:val="AllowPageBreak"/>
      </w:pPr>
    </w:p>
    <w:p w:rsidR="00000000" w:rsidRPr="002753A2" w:rsidP="002753A2">
      <w:pPr>
        <w:pStyle w:val="Heading1"/>
      </w:pPr>
      <w:bookmarkStart w:id="8" w:name="O_993324"/>
      <w:bookmarkEnd w:id="8"/>
      <w:r w:rsidRPr="002753A2">
        <w:t>Links</w:t>
      </w:r>
    </w:p>
    <w:p w:rsidR="00000000" w:rsidRPr="002753A2" w:rsidP="000E4CCD">
      <w:pPr>
        <w:pStyle w:val="BodyText"/>
      </w:pPr>
      <w:r w:rsidRPr="002753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453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753A2" w:rsidP="002753A2"/>
    <w:sectPr w:rsidSect="002753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2" w:rsidRPr="000E4CCD" w:rsidP="000E4C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CD" w:rsidP="002753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CCD" w:rsidP="002753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E4CCD" w:rsidP="002753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3A2" w:rsidRPr="000E4CCD" w:rsidP="000E4C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3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CCD" w:rsidRPr="002D2AF8" w:rsidP="002753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FBPFST4001 Apply food processing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E4CCD" w:rsidP="002753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6A3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E3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3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3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3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3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3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3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3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3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3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3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3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3A2"/>
  </w:style>
  <w:style w:type="character" w:customStyle="1" w:styleId="Heading1Char">
    <w:name w:val="Heading 1 Char"/>
    <w:basedOn w:val="DefaultParagraphFont"/>
    <w:link w:val="Heading1"/>
    <w:rsid w:val="002753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3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3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3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3A2"/>
    <w:rPr>
      <w:b/>
      <w:spacing w:val="0"/>
    </w:rPr>
  </w:style>
  <w:style w:type="character" w:styleId="Emphasis">
    <w:name w:val="Emphasis"/>
    <w:basedOn w:val="DefaultParagraphFont"/>
    <w:qFormat/>
    <w:rsid w:val="002753A2"/>
    <w:rPr>
      <w:i/>
    </w:rPr>
  </w:style>
  <w:style w:type="paragraph" w:customStyle="1" w:styleId="SuperHeading">
    <w:name w:val="SuperHeading"/>
    <w:basedOn w:val="Normal"/>
    <w:rsid w:val="002753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3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3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3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3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3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3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3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3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3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3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3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3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3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3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3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3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3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3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3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3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3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3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3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3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3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3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3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3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3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3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3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3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3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3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3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3A2"/>
  </w:style>
  <w:style w:type="paragraph" w:styleId="TableofFigures">
    <w:name w:val="table of figures"/>
    <w:basedOn w:val="Normal"/>
    <w:next w:val="Normal"/>
    <w:semiHidden/>
    <w:rsid w:val="002753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3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53A2"/>
    <w:rPr>
      <w:rFonts w:ascii="Wingdings" w:hAnsi="Wingdings"/>
    </w:rPr>
  </w:style>
  <w:style w:type="paragraph" w:customStyle="1" w:styleId="TableHeading">
    <w:name w:val="Table Heading"/>
    <w:basedOn w:val="HeadingBase"/>
    <w:rsid w:val="002753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3A2"/>
    <w:rPr>
      <w:color w:val="0033CC"/>
      <w:u w:val="none"/>
    </w:rPr>
  </w:style>
  <w:style w:type="paragraph" w:customStyle="1" w:styleId="BodyTextRight">
    <w:name w:val="Body Text Right"/>
    <w:basedOn w:val="BodyText"/>
    <w:rsid w:val="002753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3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3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3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3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3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3A2"/>
    <w:rPr>
      <w:sz w:val="32"/>
    </w:rPr>
  </w:style>
  <w:style w:type="paragraph" w:customStyle="1" w:styleId="HeadingProcedure">
    <w:name w:val="Heading Procedure"/>
    <w:basedOn w:val="HeadingBase"/>
    <w:next w:val="Normal"/>
    <w:rsid w:val="002753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3A2"/>
    <w:pPr>
      <w:spacing w:before="60" w:after="60"/>
    </w:pPr>
  </w:style>
  <w:style w:type="paragraph" w:styleId="ListContinue">
    <w:name w:val="List Continue"/>
    <w:basedOn w:val="List"/>
    <w:rsid w:val="002753A2"/>
    <w:pPr>
      <w:ind w:firstLine="0"/>
    </w:pPr>
  </w:style>
  <w:style w:type="paragraph" w:customStyle="1" w:styleId="ListNote">
    <w:name w:val="List Note"/>
    <w:basedOn w:val="List"/>
    <w:rsid w:val="002753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3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3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3A2"/>
    <w:rPr>
      <w:rFonts w:ascii="Courier New" w:hAnsi="Courier New"/>
    </w:rPr>
  </w:style>
  <w:style w:type="paragraph" w:customStyle="1" w:styleId="NoteBullet">
    <w:name w:val="Note Bullet"/>
    <w:basedOn w:val="Note"/>
    <w:rsid w:val="002753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3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3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3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3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53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3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3A2"/>
    <w:rPr>
      <w:b/>
      <w:smallCaps/>
    </w:rPr>
  </w:style>
  <w:style w:type="paragraph" w:customStyle="1" w:styleId="TableListNumber">
    <w:name w:val="Table List Number"/>
    <w:basedOn w:val="ListNumber"/>
    <w:rsid w:val="002753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3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3A2"/>
    <w:pPr>
      <w:numPr>
        <w:numId w:val="8"/>
      </w:numPr>
    </w:pPr>
  </w:style>
  <w:style w:type="paragraph" w:customStyle="1" w:styleId="ListAlpha2">
    <w:name w:val="List Alpha 2"/>
    <w:basedOn w:val="List2"/>
    <w:rsid w:val="002753A2"/>
    <w:pPr>
      <w:numPr>
        <w:numId w:val="7"/>
      </w:numPr>
    </w:pPr>
  </w:style>
  <w:style w:type="paragraph" w:styleId="List2">
    <w:name w:val="List 2"/>
    <w:basedOn w:val="BodyText"/>
    <w:rsid w:val="002753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3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3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3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3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3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3A2"/>
    <w:pPr>
      <w:numPr>
        <w:numId w:val="3"/>
      </w:numPr>
    </w:pPr>
  </w:style>
  <w:style w:type="paragraph" w:styleId="ListContinue2">
    <w:name w:val="List Continue 2"/>
    <w:basedOn w:val="List2"/>
    <w:rsid w:val="002753A2"/>
    <w:pPr>
      <w:ind w:firstLine="0"/>
    </w:pPr>
  </w:style>
  <w:style w:type="paragraph" w:styleId="ListContinue3">
    <w:name w:val="List Continue 3"/>
    <w:basedOn w:val="List3"/>
    <w:rsid w:val="002753A2"/>
    <w:pPr>
      <w:ind w:left="1021" w:firstLine="0"/>
    </w:pPr>
  </w:style>
  <w:style w:type="paragraph" w:styleId="ListContinue4">
    <w:name w:val="List Continue 4"/>
    <w:basedOn w:val="List4"/>
    <w:rsid w:val="002753A2"/>
    <w:pPr>
      <w:ind w:firstLine="0"/>
    </w:pPr>
  </w:style>
  <w:style w:type="paragraph" w:styleId="ListContinue5">
    <w:name w:val="List Continue 5"/>
    <w:basedOn w:val="List5"/>
    <w:rsid w:val="002753A2"/>
    <w:pPr>
      <w:ind w:firstLine="0"/>
    </w:pPr>
  </w:style>
  <w:style w:type="paragraph" w:styleId="ListNumber3">
    <w:name w:val="List Number 3"/>
    <w:basedOn w:val="List3"/>
    <w:rsid w:val="002753A2"/>
    <w:pPr>
      <w:numPr>
        <w:numId w:val="4"/>
      </w:numPr>
    </w:pPr>
  </w:style>
  <w:style w:type="paragraph" w:styleId="ListNumber4">
    <w:name w:val="List Number 4"/>
    <w:basedOn w:val="List4"/>
    <w:rsid w:val="002753A2"/>
    <w:pPr>
      <w:numPr>
        <w:numId w:val="5"/>
      </w:numPr>
    </w:pPr>
  </w:style>
  <w:style w:type="paragraph" w:styleId="ListNumber5">
    <w:name w:val="List Number 5"/>
    <w:basedOn w:val="List5"/>
    <w:rsid w:val="002753A2"/>
    <w:pPr>
      <w:numPr>
        <w:numId w:val="6"/>
      </w:numPr>
    </w:pPr>
  </w:style>
  <w:style w:type="paragraph" w:styleId="BlockText">
    <w:name w:val="Block Text"/>
    <w:basedOn w:val="Normal"/>
    <w:rsid w:val="002753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3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3A2"/>
    <w:rPr>
      <w:sz w:val="16"/>
      <w:vertAlign w:val="superscript"/>
    </w:rPr>
  </w:style>
  <w:style w:type="character" w:customStyle="1" w:styleId="Symbols">
    <w:name w:val="Symbols"/>
    <w:basedOn w:val="DefaultParagraphFont"/>
    <w:rsid w:val="002753A2"/>
    <w:rPr>
      <w:rFonts w:ascii="Symbol" w:hAnsi="Symbol"/>
    </w:rPr>
  </w:style>
  <w:style w:type="character" w:customStyle="1" w:styleId="MenuOptions">
    <w:name w:val="Menu Options"/>
    <w:basedOn w:val="DefaultParagraphFont"/>
    <w:rsid w:val="002753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3A2"/>
    <w:rPr>
      <w:b/>
    </w:rPr>
  </w:style>
  <w:style w:type="character" w:customStyle="1" w:styleId="Underlined">
    <w:name w:val="Underlined"/>
    <w:basedOn w:val="DefaultParagraphFont"/>
    <w:rsid w:val="002753A2"/>
    <w:rPr>
      <w:u w:val="single"/>
    </w:rPr>
  </w:style>
  <w:style w:type="paragraph" w:customStyle="1" w:styleId="TableBodyTextRight">
    <w:name w:val="Table Body Text Right"/>
    <w:basedOn w:val="TableBodyText"/>
    <w:rsid w:val="002753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3A2"/>
    <w:rPr>
      <w:sz w:val="18"/>
    </w:rPr>
  </w:style>
  <w:style w:type="paragraph" w:customStyle="1" w:styleId="BodySmallRight">
    <w:name w:val="Body Small Right"/>
    <w:basedOn w:val="BodyTextRight"/>
    <w:rsid w:val="002753A2"/>
    <w:rPr>
      <w:sz w:val="18"/>
      <w:szCs w:val="18"/>
    </w:rPr>
  </w:style>
  <w:style w:type="paragraph" w:customStyle="1" w:styleId="MarginEdition">
    <w:name w:val="Margin Edition"/>
    <w:basedOn w:val="MarginNote"/>
    <w:rsid w:val="002753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3A2"/>
    <w:rPr>
      <w:sz w:val="2"/>
      <w:szCs w:val="2"/>
    </w:rPr>
  </w:style>
  <w:style w:type="character" w:customStyle="1" w:styleId="Small">
    <w:name w:val="Small"/>
    <w:basedOn w:val="DefaultParagraphFont"/>
    <w:rsid w:val="002753A2"/>
    <w:rPr>
      <w:sz w:val="16"/>
    </w:rPr>
  </w:style>
  <w:style w:type="paragraph" w:customStyle="1" w:styleId="WideTable">
    <w:name w:val="Wide Table"/>
    <w:basedOn w:val="Normal"/>
    <w:rsid w:val="002753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3A2"/>
  </w:style>
  <w:style w:type="paragraph" w:styleId="Quote">
    <w:name w:val="Quote"/>
    <w:basedOn w:val="Heading1"/>
    <w:link w:val="QuoteChar"/>
    <w:qFormat/>
    <w:rsid w:val="002753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3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3A2"/>
    <w:pPr>
      <w:pageBreakBefore/>
    </w:pPr>
  </w:style>
  <w:style w:type="paragraph" w:customStyle="1" w:styleId="Border">
    <w:name w:val="Border"/>
    <w:basedOn w:val="Normal"/>
    <w:qFormat/>
    <w:rsid w:val="002753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3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3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3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3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3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3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3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3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3A2"/>
    <w:rPr>
      <w:u w:val="single"/>
    </w:rPr>
  </w:style>
  <w:style w:type="character" w:customStyle="1" w:styleId="BoldandItalics">
    <w:name w:val="Bold and Italics"/>
    <w:qFormat/>
    <w:rsid w:val="002753A2"/>
    <w:rPr>
      <w:b/>
      <w:i/>
      <w:u w:val="none"/>
    </w:rPr>
  </w:style>
  <w:style w:type="paragraph" w:styleId="BalloonText">
    <w:name w:val="Balloon Text"/>
    <w:basedOn w:val="Normal"/>
    <w:link w:val="BalloonTextChar"/>
    <w:rsid w:val="002753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3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3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3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3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3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3A2"/>
    <w:pPr>
      <w:spacing w:before="0" w:after="0"/>
    </w:pPr>
  </w:style>
  <w:style w:type="paragraph" w:customStyle="1" w:styleId="BodyTextBold">
    <w:name w:val="Body Text Bold"/>
    <w:basedOn w:val="BodyText"/>
    <w:qFormat/>
    <w:rsid w:val="002753A2"/>
    <w:rPr>
      <w:b/>
    </w:rPr>
  </w:style>
  <w:style w:type="character" w:styleId="Hyperlink">
    <w:name w:val="Hyperlink"/>
    <w:basedOn w:val="DefaultParagraphFont"/>
    <w:uiPriority w:val="99"/>
    <w:unhideWhenUsed/>
    <w:rsid w:val="000E4C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4220</Characters>
  <Application>Microsoft Office Word</Application>
  <DocSecurity>0</DocSecurity>
  <Lines>156</Lines>
  <Paragraphs>92</Paragraphs>
  <ScaleCrop>false</ScaleCrop>
  <Company>Author-it Software Corporation Ltd.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FBPFST4001 Apply food processing technologies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