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2FFA" w:rsidP="00F12F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FBPCEL3011 Operate the reverse osmosis process</w:t>
      </w:r>
      <w:r>
        <w:fldChar w:fldCharType="end"/>
      </w:r>
    </w:p>
    <w:p w:rsidR="00F12FFA" w:rsidP="00F12FFA">
      <w:pPr>
        <w:pStyle w:val="Version"/>
        <w:sectPr w:rsidSect="00AE32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324D" w:rsidP="00AE324D">
      <w:pPr>
        <w:pStyle w:val="SuperHeading"/>
      </w:pPr>
      <w:r w:rsidRPr="00AE324D">
        <w:t>FBPCEL3011 Operate the reverse osmosis process</w:t>
      </w:r>
    </w:p>
    <w:p w:rsidR="00000000" w:rsidRPr="00AE324D" w:rsidP="00AE324D">
      <w:pPr>
        <w:pStyle w:val="Heading1"/>
      </w:pPr>
      <w:bookmarkStart w:id="1" w:name="O_995484"/>
      <w:bookmarkEnd w:id="1"/>
      <w:r w:rsidRPr="00AE324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E32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24D" w:rsidP="00AE324D">
            <w:pPr>
              <w:pStyle w:val="BodyText"/>
            </w:pPr>
            <w:r w:rsidRPr="00AE324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4D">
            <w:pPr>
              <w:pStyle w:val="BodyText"/>
              <w:rPr>
                <w:lang w:val="en-NZ"/>
              </w:rPr>
            </w:pPr>
            <w:r w:rsidRPr="00AE324D">
              <w:rPr>
                <w:rStyle w:val="SpecialBold"/>
              </w:rPr>
              <w:t>Comments</w:t>
            </w:r>
          </w:p>
        </w:tc>
      </w:tr>
      <w:tr w:rsidTr="00AE32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4D">
            <w:pPr>
              <w:pStyle w:val="BodyText"/>
              <w:rPr>
                <w:lang w:val="en-NZ"/>
              </w:rPr>
            </w:pPr>
            <w:r w:rsidRPr="00AE324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24D" w:rsidP="00AE324D">
            <w:pPr>
              <w:pStyle w:val="BodyText"/>
            </w:pPr>
            <w:r w:rsidRPr="00AE324D">
              <w:t>This version released with FBP Food, Beverage and Pharmaceutical Training Package Version 2.0</w:t>
            </w:r>
          </w:p>
        </w:tc>
      </w:tr>
    </w:tbl>
    <w:p w:rsidR="00000000" w:rsidRPr="00AE324D" w:rsidP="00AE324D">
      <w:pPr>
        <w:pStyle w:val="BodyText"/>
      </w:pPr>
    </w:p>
    <w:p w:rsidR="00000000" w:rsidRPr="00AE324D" w:rsidP="00AE324D">
      <w:pPr>
        <w:pStyle w:val="AllowPageBreak"/>
      </w:pPr>
    </w:p>
    <w:p w:rsidR="00000000" w:rsidRPr="00AE324D" w:rsidP="00AE324D">
      <w:pPr>
        <w:pStyle w:val="Heading1"/>
      </w:pPr>
      <w:bookmarkStart w:id="2" w:name="O_995485"/>
      <w:bookmarkEnd w:id="2"/>
      <w:r w:rsidRPr="00AE324D">
        <w:t>Application</w:t>
      </w:r>
    </w:p>
    <w:p w:rsidR="00000000" w:rsidRPr="00AE324D" w:rsidP="00F12FFA">
      <w:pPr>
        <w:pStyle w:val="BodyText"/>
      </w:pPr>
      <w:r w:rsidRPr="00AE324D">
        <w:t>This unit of competency describes the skills and knowledge required to ope</w:t>
      </w:r>
      <w:r w:rsidRPr="00AE324D">
        <w:t>rate the reverse osmosis process in wine cellar operations.</w:t>
      </w:r>
    </w:p>
    <w:p w:rsidR="00000000" w:rsidRPr="00AE324D" w:rsidP="00F12FFA">
      <w:pPr>
        <w:pStyle w:val="BodyText"/>
      </w:pPr>
      <w:r w:rsidRPr="00AE324D">
        <w:t>The unit applies to individuals who take responsibility for their own work using discretion and judgement in the selection and use of available resources.</w:t>
      </w:r>
    </w:p>
    <w:p w:rsidR="00000000" w:rsidRPr="00AE324D" w:rsidP="00F12FFA">
      <w:pPr>
        <w:pStyle w:val="BodyText"/>
      </w:pPr>
      <w:r w:rsidRPr="00AE324D">
        <w:t>All work must be carried out to comply wi</w:t>
      </w:r>
      <w:r w:rsidRPr="00AE324D">
        <w:t>th workplace procedures, according to state/territory health and safety, and food safety regulations, legislation and standards that apply to the workplace.</w:t>
      </w:r>
    </w:p>
    <w:p w:rsidR="00000000" w:rsidRPr="00AE324D" w:rsidP="00F12FFA">
      <w:pPr>
        <w:pStyle w:val="BodyText"/>
      </w:pPr>
      <w:r w:rsidRPr="00AE324D">
        <w:t>No occupational licensing, legislative or certification requirements apply to this unit at the time</w:t>
      </w:r>
      <w:r w:rsidRPr="00AE324D">
        <w:t xml:space="preserve"> of publication.</w:t>
      </w:r>
    </w:p>
    <w:p w:rsidR="00000000" w:rsidRPr="00AE324D" w:rsidP="00AE324D">
      <w:pPr>
        <w:pStyle w:val="Heading1"/>
      </w:pPr>
      <w:bookmarkStart w:id="3" w:name="O_995486"/>
      <w:bookmarkEnd w:id="3"/>
      <w:r w:rsidRPr="00AE324D">
        <w:t>Pre-requisite Unit</w:t>
      </w:r>
    </w:p>
    <w:p w:rsidR="00000000" w:rsidRPr="00AE324D" w:rsidP="00F12FFA">
      <w:pPr>
        <w:pStyle w:val="BodyText"/>
      </w:pPr>
      <w:r w:rsidRPr="00AE324D">
        <w:t>Nil</w:t>
      </w:r>
    </w:p>
    <w:p w:rsidR="00000000" w:rsidRPr="00AE324D" w:rsidP="00AE324D">
      <w:pPr>
        <w:pStyle w:val="Heading1"/>
      </w:pPr>
      <w:bookmarkStart w:id="4" w:name="O_995488"/>
      <w:bookmarkEnd w:id="4"/>
      <w:r w:rsidRPr="00AE324D">
        <w:t>Unit Sector</w:t>
      </w:r>
    </w:p>
    <w:p w:rsidR="00000000" w:rsidRPr="00AE324D" w:rsidP="00F12FFA">
      <w:pPr>
        <w:pStyle w:val="BodyText"/>
      </w:pPr>
      <w:r w:rsidRPr="00AE324D">
        <w:t>Cellar Operations (CEL)</w:t>
      </w:r>
    </w:p>
    <w:p w:rsidR="00000000" w:rsidRPr="00AE324D" w:rsidP="00AE324D">
      <w:pPr>
        <w:pStyle w:val="Heading1"/>
      </w:pPr>
      <w:bookmarkStart w:id="5" w:name="O_995489"/>
      <w:bookmarkEnd w:id="5"/>
      <w:r w:rsidRPr="00AE324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12F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24D" w:rsidP="00AE324D">
            <w:pPr>
              <w:pStyle w:val="BodyText"/>
            </w:pPr>
            <w:r w:rsidRPr="00AE324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4D">
            <w:pPr>
              <w:pStyle w:val="BodyText"/>
              <w:rPr>
                <w:lang w:val="en-NZ"/>
              </w:rPr>
            </w:pPr>
            <w:r w:rsidRPr="00AE324D">
              <w:rPr>
                <w:rStyle w:val="SpecialBold"/>
              </w:rPr>
              <w:t>Performance Criteria</w:t>
            </w:r>
          </w:p>
        </w:tc>
      </w:tr>
      <w:tr w:rsidTr="00F12F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24D" w:rsidP="00AE324D">
            <w:pPr>
              <w:pStyle w:val="BodyText"/>
            </w:pPr>
            <w:r w:rsidRPr="00AE324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4D">
            <w:pPr>
              <w:pStyle w:val="BodyText"/>
              <w:rPr>
                <w:lang w:val="en-NZ"/>
              </w:rPr>
            </w:pPr>
            <w:r w:rsidRPr="00AE32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12F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4D">
            <w:pPr>
              <w:pStyle w:val="BodyText"/>
              <w:rPr>
                <w:lang w:val="en-NZ"/>
              </w:rPr>
            </w:pPr>
            <w:r w:rsidRPr="00AE324D">
              <w:t>1. Prepare the reverse osmosis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24D" w:rsidP="00AE324D">
            <w:pPr>
              <w:pStyle w:val="BodyText"/>
            </w:pPr>
            <w:r w:rsidRPr="00AE324D">
              <w:t>1.1 Identify and confirm production requirements</w:t>
            </w:r>
          </w:p>
          <w:p w:rsidR="00000000" w:rsidRPr="00AE324D" w:rsidP="00AE324D">
            <w:pPr>
              <w:pStyle w:val="BodyText"/>
            </w:pPr>
            <w:r w:rsidRPr="00AE324D">
              <w:t>1.2 Confirm availability and prepare product to meet reve</w:t>
            </w:r>
            <w:r w:rsidRPr="00AE324D">
              <w:t>rse osmosis requirements</w:t>
            </w:r>
          </w:p>
          <w:p w:rsidR="00000000" w:rsidRPr="00AE324D" w:rsidP="00AE324D">
            <w:pPr>
              <w:pStyle w:val="BodyText"/>
            </w:pPr>
            <w:r w:rsidRPr="00AE324D">
              <w:t xml:space="preserve">1.3 Confirm environmental guidelines and identify potential health </w:t>
            </w:r>
            <w:r w:rsidRPr="00AE324D">
              <w:t xml:space="preserve">and safety in the workplace hazards and controls in accordance with workplace procedures </w:t>
            </w:r>
          </w:p>
          <w:p w:rsidR="00000000" w:rsidRPr="00AE324D" w:rsidP="00AE324D">
            <w:pPr>
              <w:pStyle w:val="BodyText"/>
            </w:pPr>
            <w:r w:rsidRPr="00AE324D">
              <w:t>1.4 Select, fit and use personal protective equipment required for product</w:t>
            </w:r>
            <w:r w:rsidRPr="00AE324D">
              <w:t xml:space="preserve">ion </w:t>
            </w:r>
          </w:p>
          <w:p w:rsidR="00000000" w:rsidRPr="00AE324D" w:rsidP="00AE324D">
            <w:pPr>
              <w:pStyle w:val="BodyText"/>
            </w:pPr>
            <w:r w:rsidRPr="00AE324D">
              <w:t>1.5 Check equipment and confirm readiness for use according to workplace procedures</w:t>
            </w:r>
          </w:p>
          <w:p w:rsidR="00000000" w:rsidP="00AE324D">
            <w:pPr>
              <w:pStyle w:val="BodyText"/>
              <w:rPr>
                <w:lang w:val="en-NZ"/>
              </w:rPr>
            </w:pPr>
            <w:r w:rsidRPr="00AE324D">
              <w:t>1.6 Set the process to meet reverse osmosis requirements</w:t>
            </w:r>
          </w:p>
        </w:tc>
      </w:tr>
      <w:tr w:rsidTr="00F12F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4D">
            <w:pPr>
              <w:pStyle w:val="BodyText"/>
              <w:rPr>
                <w:lang w:val="en-NZ"/>
              </w:rPr>
            </w:pPr>
            <w:r w:rsidRPr="00AE324D">
              <w:t>2. Operate and monitor the reverse osmosis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24D" w:rsidP="00AE324D">
            <w:pPr>
              <w:pStyle w:val="BodyText"/>
            </w:pPr>
            <w:r w:rsidRPr="00AE324D">
              <w:t>2.1 Start up the reverse osmosis process according to workplace procedures</w:t>
            </w:r>
          </w:p>
          <w:p w:rsidR="00000000" w:rsidRPr="00AE324D" w:rsidP="00AE324D">
            <w:pPr>
              <w:pStyle w:val="BodyText"/>
            </w:pPr>
            <w:r w:rsidRPr="00AE324D">
              <w:t>2.2 Monitor osmosis process to confirm performance is maintained within specification</w:t>
            </w:r>
          </w:p>
          <w:p w:rsidR="00000000" w:rsidP="00AE324D">
            <w:pPr>
              <w:pStyle w:val="BodyText"/>
              <w:rPr>
                <w:lang w:val="en-NZ"/>
              </w:rPr>
            </w:pPr>
            <w:r w:rsidRPr="00AE324D">
              <w:t>2.3 Identify and address non-conformance product, process and equipment performance according t</w:t>
            </w:r>
            <w:r w:rsidRPr="00AE324D">
              <w:t>o workplace procedures</w:t>
            </w:r>
          </w:p>
        </w:tc>
      </w:tr>
      <w:tr w:rsidTr="00F12F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4D">
            <w:pPr>
              <w:pStyle w:val="BodyText"/>
              <w:rPr>
                <w:lang w:val="en-NZ"/>
              </w:rPr>
            </w:pPr>
            <w:r w:rsidRPr="00AE324D">
              <w:t>3. Shut down the reverse osmosis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24D" w:rsidP="00AE324D">
            <w:pPr>
              <w:pStyle w:val="BodyText"/>
            </w:pPr>
            <w:r w:rsidRPr="00AE324D">
              <w:t>3.1 Identify and implement appropriate shutdown procedures</w:t>
            </w:r>
          </w:p>
          <w:p w:rsidR="00000000" w:rsidRPr="00AE324D" w:rsidP="00AE324D">
            <w:pPr>
              <w:pStyle w:val="BodyText"/>
            </w:pPr>
            <w:r w:rsidRPr="00AE324D">
              <w:t>3.2 Dismantle equipment safely and prepare for cleaning</w:t>
            </w:r>
          </w:p>
          <w:p w:rsidR="00000000" w:rsidRPr="00AE324D" w:rsidP="00AE324D">
            <w:pPr>
              <w:pStyle w:val="BodyText"/>
            </w:pPr>
            <w:r w:rsidRPr="00AE324D">
              <w:t>3.3 Collect, treat and dispose of or recycle waste generated by both the pro</w:t>
            </w:r>
            <w:r w:rsidRPr="00AE324D">
              <w:t>cess and cleaning procedures</w:t>
            </w:r>
          </w:p>
          <w:p w:rsidR="00000000" w:rsidRPr="00AE324D" w:rsidP="00AE324D">
            <w:pPr>
              <w:pStyle w:val="BodyText"/>
            </w:pPr>
            <w:r w:rsidRPr="00AE324D">
              <w:t xml:space="preserve">3.4 Record workplace information according to workplace requirements </w:t>
            </w:r>
          </w:p>
        </w:tc>
      </w:tr>
    </w:tbl>
    <w:p w:rsidR="00000000" w:rsidRPr="00AE324D" w:rsidP="00AE324D">
      <w:pPr>
        <w:pStyle w:val="BodyText"/>
      </w:pPr>
    </w:p>
    <w:p w:rsidR="00000000" w:rsidRPr="00AE324D" w:rsidP="00AE324D">
      <w:pPr>
        <w:pStyle w:val="AllowPageBreak"/>
      </w:pPr>
    </w:p>
    <w:p w:rsidR="00000000" w:rsidRPr="00AE324D" w:rsidP="00AE324D">
      <w:pPr>
        <w:pStyle w:val="Heading1"/>
      </w:pPr>
      <w:bookmarkStart w:id="6" w:name="O_995490"/>
      <w:bookmarkEnd w:id="6"/>
      <w:r w:rsidRPr="00AE324D">
        <w:t>Foundation Skills</w:t>
      </w:r>
    </w:p>
    <w:p w:rsidR="00000000" w:rsidRPr="00F12FFA" w:rsidP="00F12FFA">
      <w:pPr>
        <w:pStyle w:val="BodyText"/>
        <w:rPr>
          <w:i/>
        </w:rPr>
      </w:pPr>
      <w:r w:rsidRPr="00F12FFA">
        <w:rPr>
          <w:rStyle w:val="Emphasis"/>
        </w:rPr>
        <w:t>This section describes those language, literacy, numeracy and employment skills that are essential for performance in th</w:t>
      </w:r>
      <w:r w:rsidRPr="00F12FFA">
        <w:rPr>
          <w:rStyle w:val="Emphasis"/>
        </w:rPr>
        <w:t>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E32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24D" w:rsidP="00AE324D">
            <w:pPr>
              <w:pStyle w:val="BodyText"/>
            </w:pPr>
            <w:r w:rsidRPr="00AE324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4D">
            <w:pPr>
              <w:pStyle w:val="BodyText"/>
              <w:rPr>
                <w:lang w:val="en-NZ"/>
              </w:rPr>
            </w:pPr>
            <w:r w:rsidRPr="00AE324D">
              <w:rPr>
                <w:rStyle w:val="SpecialBold"/>
              </w:rPr>
              <w:t>Description</w:t>
            </w:r>
          </w:p>
        </w:tc>
      </w:tr>
      <w:tr w:rsidTr="00AE32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4D">
            <w:pPr>
              <w:pStyle w:val="BodyText"/>
              <w:rPr>
                <w:lang w:val="en-NZ"/>
              </w:rPr>
            </w:pPr>
            <w:r w:rsidRPr="00AE324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4D">
            <w:pPr>
              <w:pStyle w:val="ListBullet"/>
              <w:rPr>
                <w:lang w:val="en-NZ"/>
              </w:rPr>
            </w:pPr>
            <w:r w:rsidRPr="00AE324D">
              <w:t xml:space="preserve">Interpret information from a variety of workplace documents </w:t>
            </w:r>
          </w:p>
        </w:tc>
      </w:tr>
      <w:tr w:rsidTr="00AE32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4D">
            <w:pPr>
              <w:pStyle w:val="BodyText"/>
              <w:rPr>
                <w:lang w:val="en-NZ"/>
              </w:rPr>
            </w:pPr>
            <w:r w:rsidRPr="00AE324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4D">
            <w:pPr>
              <w:pStyle w:val="ListBullet"/>
              <w:rPr>
                <w:lang w:val="en-NZ"/>
              </w:rPr>
            </w:pPr>
            <w:r w:rsidRPr="00AE324D">
              <w:t>Produce workplace documents in required format</w:t>
            </w:r>
          </w:p>
        </w:tc>
      </w:tr>
      <w:tr w:rsidTr="00AE32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4D">
            <w:pPr>
              <w:pStyle w:val="BodyText"/>
              <w:rPr>
                <w:lang w:val="en-NZ"/>
              </w:rPr>
            </w:pPr>
            <w:r w:rsidRPr="00AE324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24D" w:rsidP="00AE324D">
            <w:pPr>
              <w:pStyle w:val="ListBullet"/>
            </w:pPr>
            <w:r w:rsidRPr="00AE324D">
              <w:t>Perform calculations relating to measurements, quantities and operational specifications</w:t>
            </w:r>
          </w:p>
          <w:p w:rsidR="00000000" w:rsidP="00AE324D">
            <w:pPr>
              <w:pStyle w:val="ListBullet"/>
              <w:rPr>
                <w:lang w:val="en-NZ"/>
              </w:rPr>
            </w:pPr>
            <w:r w:rsidRPr="00AE324D">
              <w:t>Interpret symbols and numbers during monitoring of process</w:t>
            </w:r>
          </w:p>
        </w:tc>
      </w:tr>
      <w:tr w:rsidTr="00AE32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4D">
            <w:pPr>
              <w:pStyle w:val="BodyText"/>
              <w:rPr>
                <w:lang w:val="en-NZ"/>
              </w:rPr>
            </w:pPr>
            <w:r w:rsidRPr="00AE324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4D">
            <w:pPr>
              <w:pStyle w:val="ListBullet"/>
              <w:rPr>
                <w:lang w:val="en-NZ"/>
              </w:rPr>
            </w:pPr>
            <w:r w:rsidRPr="00AE324D">
              <w:t>Comply with workplace procedures and legislative responsibilities relevant to own role</w:t>
            </w:r>
          </w:p>
        </w:tc>
      </w:tr>
      <w:tr w:rsidTr="00AE32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4D">
            <w:pPr>
              <w:pStyle w:val="BodyText"/>
              <w:rPr>
                <w:lang w:val="en-NZ"/>
              </w:rPr>
            </w:pPr>
            <w:r w:rsidRPr="00AE324D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4D">
            <w:pPr>
              <w:pStyle w:val="ListBullet"/>
              <w:rPr>
                <w:lang w:val="en-NZ"/>
              </w:rPr>
            </w:pPr>
            <w:r w:rsidRPr="00AE324D">
              <w:t xml:space="preserve">Use required communication mode to report operational information to relevant personnel </w:t>
            </w:r>
          </w:p>
        </w:tc>
      </w:tr>
      <w:tr w:rsidTr="00AE32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4D">
            <w:pPr>
              <w:pStyle w:val="BodyText"/>
              <w:rPr>
                <w:lang w:val="en-NZ"/>
              </w:rPr>
            </w:pPr>
            <w:r w:rsidRPr="00AE324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24D" w:rsidP="00AE324D">
            <w:pPr>
              <w:pStyle w:val="ListBullet"/>
            </w:pPr>
            <w:r w:rsidRPr="00AE324D">
              <w:t>Plan, sequence and implement tasks ac</w:t>
            </w:r>
            <w:r w:rsidRPr="00AE324D">
              <w:t xml:space="preserve">cording to set routines and procedures </w:t>
            </w:r>
          </w:p>
          <w:p w:rsidR="00000000" w:rsidRPr="00AE324D" w:rsidP="00AE324D">
            <w:pPr>
              <w:pStyle w:val="ListBullet"/>
            </w:pPr>
            <w:r w:rsidRPr="00AE324D">
              <w:t>Respond to routine problems using workplace instructions and procedures</w:t>
            </w:r>
          </w:p>
        </w:tc>
      </w:tr>
    </w:tbl>
    <w:p w:rsidR="00000000" w:rsidRPr="00AE324D" w:rsidP="00AE324D">
      <w:pPr>
        <w:pStyle w:val="BodyText"/>
      </w:pPr>
    </w:p>
    <w:p w:rsidR="00000000" w:rsidRPr="00AE324D" w:rsidP="00AE324D">
      <w:pPr>
        <w:pStyle w:val="AllowPageBreak"/>
      </w:pPr>
    </w:p>
    <w:p w:rsidR="00000000" w:rsidRPr="00AE324D" w:rsidP="00AE324D">
      <w:pPr>
        <w:pStyle w:val="Heading1"/>
      </w:pPr>
      <w:bookmarkStart w:id="7" w:name="O_995492"/>
      <w:bookmarkEnd w:id="7"/>
      <w:r w:rsidRPr="00AE324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E32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24D" w:rsidP="00AE324D">
            <w:pPr>
              <w:pStyle w:val="BodyText"/>
            </w:pPr>
            <w:r w:rsidRPr="00AE324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24D" w:rsidP="00AE324D">
            <w:pPr>
              <w:pStyle w:val="BodyText"/>
            </w:pPr>
            <w:r w:rsidRPr="00AE324D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24D" w:rsidP="00AE324D">
            <w:pPr>
              <w:pStyle w:val="BodyText"/>
            </w:pPr>
            <w:r w:rsidRPr="00AE324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4D">
            <w:pPr>
              <w:pStyle w:val="BodyText"/>
              <w:rPr>
                <w:lang w:val="en-NZ"/>
              </w:rPr>
            </w:pPr>
            <w:r w:rsidRPr="00AE324D">
              <w:rPr>
                <w:rStyle w:val="SpecialBold"/>
              </w:rPr>
              <w:t>Equivalence status</w:t>
            </w:r>
          </w:p>
        </w:tc>
      </w:tr>
      <w:tr w:rsidTr="00AE32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4D">
            <w:pPr>
              <w:pStyle w:val="BodyText"/>
              <w:rPr>
                <w:lang w:val="en-NZ"/>
              </w:rPr>
            </w:pPr>
            <w:r w:rsidRPr="00AE324D">
              <w:t>FBPCEL3011 Operate the reverse osmosis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4D">
            <w:pPr>
              <w:pStyle w:val="BodyText"/>
              <w:rPr>
                <w:lang w:val="en-NZ"/>
              </w:rPr>
            </w:pPr>
            <w:r w:rsidRPr="00AE324D">
              <w:t xml:space="preserve">Not applicable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24D">
            <w:pPr>
              <w:pStyle w:val="BodyText"/>
              <w:rPr>
                <w:lang w:val="en-NZ"/>
              </w:rPr>
            </w:pPr>
            <w:r w:rsidRPr="00AE324D">
              <w:t>New unit to meet industry requirements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24D" w:rsidP="00AE324D">
            <w:pPr>
              <w:pStyle w:val="BodyText"/>
            </w:pPr>
            <w:r w:rsidRPr="00AE324D">
              <w:t>No equivalent unit</w:t>
            </w:r>
          </w:p>
        </w:tc>
      </w:tr>
    </w:tbl>
    <w:p w:rsidR="00000000" w:rsidRPr="00AE324D" w:rsidP="00AE324D">
      <w:pPr>
        <w:pStyle w:val="BodyText"/>
      </w:pPr>
    </w:p>
    <w:p w:rsidR="00000000" w:rsidRPr="00AE324D" w:rsidP="00AE324D">
      <w:pPr>
        <w:pStyle w:val="AllowPageBreak"/>
      </w:pPr>
    </w:p>
    <w:p w:rsidR="00000000" w:rsidRPr="00AE324D" w:rsidP="00AE324D">
      <w:pPr>
        <w:pStyle w:val="Heading1"/>
      </w:pPr>
      <w:bookmarkStart w:id="8" w:name="O_995499"/>
      <w:bookmarkEnd w:id="8"/>
      <w:r w:rsidRPr="00AE324D">
        <w:t>Links</w:t>
      </w:r>
    </w:p>
    <w:p w:rsidR="00000000" w:rsidRPr="00AE324D" w:rsidP="00F12FFA">
      <w:pPr>
        <w:pStyle w:val="BodyText"/>
      </w:pPr>
      <w:r w:rsidRPr="00AE324D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7D39F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E324D" w:rsidP="00AE324D"/>
    <w:sectPr w:rsidSect="00AE32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2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24D" w:rsidRPr="00F12FFA" w:rsidP="00F12F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2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FFA" w:rsidP="00AE32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2FFA" w:rsidP="00AE32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12FFA" w:rsidP="00AE32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2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F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324D" w:rsidRPr="00F12FFA" w:rsidP="00F12F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2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FFA" w:rsidRPr="002D2AF8" w:rsidP="00AE32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FBPCEL3011 Operate the reverse osmosis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F12FFA" w:rsidP="00AE32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A2C8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9E97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2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32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32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32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32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32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32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32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32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32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32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324D"/>
  </w:style>
  <w:style w:type="character" w:customStyle="1" w:styleId="Heading1Char">
    <w:name w:val="Heading 1 Char"/>
    <w:basedOn w:val="DefaultParagraphFont"/>
    <w:link w:val="Heading1"/>
    <w:rsid w:val="00AE32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32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32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324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324D"/>
    <w:rPr>
      <w:b/>
      <w:spacing w:val="0"/>
    </w:rPr>
  </w:style>
  <w:style w:type="character" w:styleId="Emphasis">
    <w:name w:val="Emphasis"/>
    <w:basedOn w:val="DefaultParagraphFont"/>
    <w:qFormat/>
    <w:rsid w:val="00AE324D"/>
    <w:rPr>
      <w:i/>
    </w:rPr>
  </w:style>
  <w:style w:type="paragraph" w:customStyle="1" w:styleId="SuperHeading">
    <w:name w:val="SuperHeading"/>
    <w:basedOn w:val="Normal"/>
    <w:rsid w:val="00AE32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32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32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32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32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32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32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32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32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32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32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32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32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32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32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32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32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32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32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32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32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32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32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32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32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32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32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32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32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32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32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32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32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32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32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32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32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32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324D"/>
  </w:style>
  <w:style w:type="paragraph" w:styleId="TableofFigures">
    <w:name w:val="table of figures"/>
    <w:basedOn w:val="Normal"/>
    <w:next w:val="Normal"/>
    <w:semiHidden/>
    <w:rsid w:val="00AE32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32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E324D"/>
    <w:rPr>
      <w:rFonts w:ascii="Wingdings" w:hAnsi="Wingdings"/>
    </w:rPr>
  </w:style>
  <w:style w:type="paragraph" w:customStyle="1" w:styleId="TableHeading">
    <w:name w:val="Table Heading"/>
    <w:basedOn w:val="HeadingBase"/>
    <w:rsid w:val="00AE32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324D"/>
    <w:rPr>
      <w:color w:val="0033CC"/>
      <w:u w:val="none"/>
    </w:rPr>
  </w:style>
  <w:style w:type="paragraph" w:customStyle="1" w:styleId="BodyTextRight">
    <w:name w:val="Body Text Right"/>
    <w:basedOn w:val="BodyText"/>
    <w:rsid w:val="00AE32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32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32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32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32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32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324D"/>
    <w:rPr>
      <w:sz w:val="32"/>
    </w:rPr>
  </w:style>
  <w:style w:type="paragraph" w:customStyle="1" w:styleId="HeadingProcedure">
    <w:name w:val="Heading Procedure"/>
    <w:basedOn w:val="HeadingBase"/>
    <w:next w:val="Normal"/>
    <w:rsid w:val="00AE32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324D"/>
    <w:pPr>
      <w:spacing w:before="60" w:after="60"/>
    </w:pPr>
  </w:style>
  <w:style w:type="paragraph" w:styleId="ListContinue">
    <w:name w:val="List Continue"/>
    <w:basedOn w:val="List"/>
    <w:rsid w:val="00AE324D"/>
    <w:pPr>
      <w:ind w:firstLine="0"/>
    </w:pPr>
  </w:style>
  <w:style w:type="paragraph" w:customStyle="1" w:styleId="ListNote">
    <w:name w:val="List Note"/>
    <w:basedOn w:val="List"/>
    <w:rsid w:val="00AE32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32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32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324D"/>
    <w:rPr>
      <w:rFonts w:ascii="Courier New" w:hAnsi="Courier New"/>
    </w:rPr>
  </w:style>
  <w:style w:type="paragraph" w:customStyle="1" w:styleId="NoteBullet">
    <w:name w:val="Note Bullet"/>
    <w:basedOn w:val="Note"/>
    <w:rsid w:val="00AE32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32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32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32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32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E32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32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324D"/>
    <w:rPr>
      <w:b/>
      <w:smallCaps/>
    </w:rPr>
  </w:style>
  <w:style w:type="paragraph" w:customStyle="1" w:styleId="TableListNumber">
    <w:name w:val="Table List Number"/>
    <w:basedOn w:val="ListNumber"/>
    <w:rsid w:val="00AE32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32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324D"/>
    <w:pPr>
      <w:numPr>
        <w:numId w:val="8"/>
      </w:numPr>
    </w:pPr>
  </w:style>
  <w:style w:type="paragraph" w:customStyle="1" w:styleId="ListAlpha2">
    <w:name w:val="List Alpha 2"/>
    <w:basedOn w:val="List2"/>
    <w:rsid w:val="00AE324D"/>
    <w:pPr>
      <w:numPr>
        <w:numId w:val="7"/>
      </w:numPr>
    </w:pPr>
  </w:style>
  <w:style w:type="paragraph" w:styleId="List2">
    <w:name w:val="List 2"/>
    <w:basedOn w:val="BodyText"/>
    <w:rsid w:val="00AE32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32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32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32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32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32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E324D"/>
    <w:pPr>
      <w:numPr>
        <w:numId w:val="3"/>
      </w:numPr>
    </w:pPr>
  </w:style>
  <w:style w:type="paragraph" w:styleId="ListContinue2">
    <w:name w:val="List Continue 2"/>
    <w:basedOn w:val="List2"/>
    <w:rsid w:val="00AE324D"/>
    <w:pPr>
      <w:ind w:firstLine="0"/>
    </w:pPr>
  </w:style>
  <w:style w:type="paragraph" w:styleId="ListContinue3">
    <w:name w:val="List Continue 3"/>
    <w:basedOn w:val="List3"/>
    <w:rsid w:val="00AE324D"/>
    <w:pPr>
      <w:ind w:left="1021" w:firstLine="0"/>
    </w:pPr>
  </w:style>
  <w:style w:type="paragraph" w:styleId="ListContinue4">
    <w:name w:val="List Continue 4"/>
    <w:basedOn w:val="List4"/>
    <w:rsid w:val="00AE324D"/>
    <w:pPr>
      <w:ind w:firstLine="0"/>
    </w:pPr>
  </w:style>
  <w:style w:type="paragraph" w:styleId="ListContinue5">
    <w:name w:val="List Continue 5"/>
    <w:basedOn w:val="List5"/>
    <w:rsid w:val="00AE324D"/>
    <w:pPr>
      <w:ind w:firstLine="0"/>
    </w:pPr>
  </w:style>
  <w:style w:type="paragraph" w:styleId="ListNumber3">
    <w:name w:val="List Number 3"/>
    <w:basedOn w:val="List3"/>
    <w:rsid w:val="00AE324D"/>
    <w:pPr>
      <w:numPr>
        <w:numId w:val="4"/>
      </w:numPr>
    </w:pPr>
  </w:style>
  <w:style w:type="paragraph" w:styleId="ListNumber4">
    <w:name w:val="List Number 4"/>
    <w:basedOn w:val="List4"/>
    <w:rsid w:val="00AE324D"/>
    <w:pPr>
      <w:numPr>
        <w:numId w:val="5"/>
      </w:numPr>
    </w:pPr>
  </w:style>
  <w:style w:type="paragraph" w:styleId="ListNumber5">
    <w:name w:val="List Number 5"/>
    <w:basedOn w:val="List5"/>
    <w:rsid w:val="00AE324D"/>
    <w:pPr>
      <w:numPr>
        <w:numId w:val="6"/>
      </w:numPr>
    </w:pPr>
  </w:style>
  <w:style w:type="paragraph" w:styleId="BlockText">
    <w:name w:val="Block Text"/>
    <w:basedOn w:val="Normal"/>
    <w:rsid w:val="00AE32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32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324D"/>
    <w:rPr>
      <w:sz w:val="16"/>
      <w:vertAlign w:val="superscript"/>
    </w:rPr>
  </w:style>
  <w:style w:type="character" w:customStyle="1" w:styleId="Symbols">
    <w:name w:val="Symbols"/>
    <w:basedOn w:val="DefaultParagraphFont"/>
    <w:rsid w:val="00AE324D"/>
    <w:rPr>
      <w:rFonts w:ascii="Symbol" w:hAnsi="Symbol"/>
    </w:rPr>
  </w:style>
  <w:style w:type="character" w:customStyle="1" w:styleId="MenuOptions">
    <w:name w:val="Menu Options"/>
    <w:basedOn w:val="DefaultParagraphFont"/>
    <w:rsid w:val="00AE32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324D"/>
    <w:rPr>
      <w:b/>
    </w:rPr>
  </w:style>
  <w:style w:type="character" w:customStyle="1" w:styleId="Underlined">
    <w:name w:val="Underlined"/>
    <w:basedOn w:val="DefaultParagraphFont"/>
    <w:rsid w:val="00AE324D"/>
    <w:rPr>
      <w:u w:val="single"/>
    </w:rPr>
  </w:style>
  <w:style w:type="paragraph" w:customStyle="1" w:styleId="TableBodyTextRight">
    <w:name w:val="Table Body Text Right"/>
    <w:basedOn w:val="TableBodyText"/>
    <w:rsid w:val="00AE32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324D"/>
    <w:rPr>
      <w:sz w:val="18"/>
    </w:rPr>
  </w:style>
  <w:style w:type="paragraph" w:customStyle="1" w:styleId="BodySmallRight">
    <w:name w:val="Body Small Right"/>
    <w:basedOn w:val="BodyTextRight"/>
    <w:rsid w:val="00AE324D"/>
    <w:rPr>
      <w:sz w:val="18"/>
      <w:szCs w:val="18"/>
    </w:rPr>
  </w:style>
  <w:style w:type="paragraph" w:customStyle="1" w:styleId="MarginEdition">
    <w:name w:val="Margin Edition"/>
    <w:basedOn w:val="MarginNote"/>
    <w:rsid w:val="00AE32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324D"/>
    <w:rPr>
      <w:sz w:val="2"/>
      <w:szCs w:val="2"/>
    </w:rPr>
  </w:style>
  <w:style w:type="character" w:customStyle="1" w:styleId="Small">
    <w:name w:val="Small"/>
    <w:basedOn w:val="DefaultParagraphFont"/>
    <w:rsid w:val="00AE324D"/>
    <w:rPr>
      <w:sz w:val="16"/>
    </w:rPr>
  </w:style>
  <w:style w:type="paragraph" w:customStyle="1" w:styleId="WideTable">
    <w:name w:val="Wide Table"/>
    <w:basedOn w:val="Normal"/>
    <w:rsid w:val="00AE32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324D"/>
  </w:style>
  <w:style w:type="paragraph" w:styleId="Quote">
    <w:name w:val="Quote"/>
    <w:basedOn w:val="Heading1"/>
    <w:link w:val="QuoteChar"/>
    <w:qFormat/>
    <w:rsid w:val="00AE32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32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324D"/>
    <w:pPr>
      <w:pageBreakBefore/>
    </w:pPr>
  </w:style>
  <w:style w:type="paragraph" w:customStyle="1" w:styleId="Border">
    <w:name w:val="Border"/>
    <w:basedOn w:val="Normal"/>
    <w:qFormat/>
    <w:rsid w:val="00AE32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32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2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2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32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32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32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32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32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324D"/>
    <w:rPr>
      <w:u w:val="single"/>
    </w:rPr>
  </w:style>
  <w:style w:type="character" w:customStyle="1" w:styleId="BoldandItalics">
    <w:name w:val="Bold and Italics"/>
    <w:qFormat/>
    <w:rsid w:val="00AE324D"/>
    <w:rPr>
      <w:b/>
      <w:i/>
      <w:u w:val="none"/>
    </w:rPr>
  </w:style>
  <w:style w:type="paragraph" w:styleId="BalloonText">
    <w:name w:val="Balloon Text"/>
    <w:basedOn w:val="Normal"/>
    <w:link w:val="BalloonTextChar"/>
    <w:rsid w:val="00AE32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32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32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32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32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32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324D"/>
    <w:pPr>
      <w:spacing w:before="0" w:after="0"/>
    </w:pPr>
  </w:style>
  <w:style w:type="paragraph" w:customStyle="1" w:styleId="BodyTextBold">
    <w:name w:val="Body Text Bold"/>
    <w:basedOn w:val="BodyText"/>
    <w:qFormat/>
    <w:rsid w:val="00AE324D"/>
    <w:rPr>
      <w:b/>
    </w:rPr>
  </w:style>
  <w:style w:type="character" w:styleId="Hyperlink">
    <w:name w:val="Hyperlink"/>
    <w:basedOn w:val="DefaultParagraphFont"/>
    <w:uiPriority w:val="99"/>
    <w:unhideWhenUsed/>
    <w:rsid w:val="00F12F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514</Words>
  <Characters>3316</Characters>
  <Application>Microsoft Office Word</Application>
  <DocSecurity>0</DocSecurity>
  <Lines>127</Lines>
  <Paragraphs>81</Paragraphs>
  <ScaleCrop>false</ScaleCrop>
  <Company>Author-it Software Corporation Ltd.</Company>
  <LinksUpToDate>false</LinksUpToDate>
  <CharactersWithSpaces>3749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FBPCEL3011 Operate the reverse osmosis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2023-01-26T22:08:00Z</dcterms:created>
  <dcterms:modified xsi:type="dcterms:W3CDTF">2023-01-26T22:08:00Z</dcterms:modified>
</cp:coreProperties>
</file>