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12D" w:rsidP="00002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FBPCEL3010 Operate the decanter process</w:t>
      </w:r>
      <w:r>
        <w:fldChar w:fldCharType="end"/>
      </w:r>
    </w:p>
    <w:p w:rsidR="0000212D" w:rsidP="0000212D">
      <w:pPr>
        <w:pStyle w:val="Version"/>
        <w:sectPr w:rsidSect="00CA3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872" w:rsidP="00CA3872">
      <w:pPr>
        <w:pStyle w:val="SuperHeading"/>
      </w:pPr>
      <w:r w:rsidRPr="00CA3872">
        <w:t>FBPCEL3010 Operate the decanter process</w:t>
      </w:r>
    </w:p>
    <w:p w:rsidR="00000000" w:rsidRPr="00CA3872" w:rsidP="00CA3872">
      <w:pPr>
        <w:pStyle w:val="Heading1"/>
      </w:pPr>
      <w:bookmarkStart w:id="1" w:name="O_995465"/>
      <w:bookmarkEnd w:id="1"/>
      <w:r w:rsidRPr="00CA38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rPr>
                <w:rStyle w:val="SpecialBold"/>
              </w:rPr>
              <w:t>Comments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t>This version released with FBP Food, Beverage and Pharmaceutical Training Package Version 2.0</w:t>
            </w:r>
          </w:p>
        </w:tc>
      </w:tr>
    </w:tbl>
    <w:p w:rsidR="00000000" w:rsidRPr="00CA3872" w:rsidP="00CA3872">
      <w:pPr>
        <w:pStyle w:val="BodyText"/>
      </w:pPr>
    </w:p>
    <w:p w:rsidR="00000000" w:rsidRPr="00CA3872" w:rsidP="00CA3872">
      <w:pPr>
        <w:pStyle w:val="AllowPageBreak"/>
      </w:pPr>
    </w:p>
    <w:p w:rsidR="00000000" w:rsidRPr="00CA3872" w:rsidP="00CA3872">
      <w:pPr>
        <w:pStyle w:val="Heading1"/>
      </w:pPr>
      <w:bookmarkStart w:id="2" w:name="O_995466"/>
      <w:bookmarkEnd w:id="2"/>
      <w:r w:rsidRPr="00CA3872">
        <w:t>Application</w:t>
      </w:r>
    </w:p>
    <w:p w:rsidR="00000000" w:rsidRPr="00CA3872" w:rsidP="0000212D">
      <w:pPr>
        <w:pStyle w:val="BodyText"/>
      </w:pPr>
      <w:r w:rsidRPr="00CA3872">
        <w:t>This unit of competency describes the skills and knowledge required to operate and</w:t>
      </w:r>
      <w:r w:rsidRPr="00CA3872">
        <w:t xml:space="preserve"> monitor the decanter process in wine cellar operations.</w:t>
      </w:r>
    </w:p>
    <w:p w:rsidR="00000000" w:rsidRPr="00CA3872" w:rsidP="0000212D">
      <w:pPr>
        <w:pStyle w:val="BodyText"/>
      </w:pPr>
      <w:r w:rsidRPr="00CA3872">
        <w:t>The unit applies to individuals who take responsibility for their own work using discretion and judgement in the selection and use of available resources.</w:t>
      </w:r>
    </w:p>
    <w:p w:rsidR="00000000" w:rsidRPr="00CA3872" w:rsidP="0000212D">
      <w:pPr>
        <w:pStyle w:val="BodyText"/>
      </w:pPr>
      <w:r w:rsidRPr="00CA3872">
        <w:t xml:space="preserve">All work must be carried out to comply with </w:t>
      </w:r>
      <w:r w:rsidRPr="00CA3872">
        <w:t>workplace procedures, according to state/territory health and safety, and food safety regulations, legislation and standards that apply to the workplace.</w:t>
      </w:r>
    </w:p>
    <w:p w:rsidR="00000000" w:rsidRPr="00CA3872" w:rsidP="0000212D">
      <w:pPr>
        <w:pStyle w:val="BodyText"/>
      </w:pPr>
      <w:r w:rsidRPr="00CA3872">
        <w:t>No occupational licensing, legislative or certification requirements apply to this unit at the time of</w:t>
      </w:r>
      <w:r w:rsidRPr="00CA3872">
        <w:t xml:space="preserve"> publication.</w:t>
      </w:r>
    </w:p>
    <w:p w:rsidR="00000000" w:rsidRPr="00CA3872" w:rsidP="00CA3872">
      <w:pPr>
        <w:pStyle w:val="Heading1"/>
      </w:pPr>
      <w:bookmarkStart w:id="3" w:name="O_995467"/>
      <w:bookmarkEnd w:id="3"/>
      <w:r w:rsidRPr="00CA3872">
        <w:t>Pre-requisite Unit</w:t>
      </w:r>
    </w:p>
    <w:p w:rsidR="00000000" w:rsidRPr="00CA3872" w:rsidP="0000212D">
      <w:pPr>
        <w:pStyle w:val="BodyText"/>
      </w:pPr>
      <w:r w:rsidRPr="00CA3872">
        <w:t>Nil</w:t>
      </w:r>
    </w:p>
    <w:p w:rsidR="00000000" w:rsidRPr="00CA3872" w:rsidP="00CA3872">
      <w:pPr>
        <w:pStyle w:val="Heading1"/>
      </w:pPr>
      <w:bookmarkStart w:id="4" w:name="O_995469"/>
      <w:bookmarkEnd w:id="4"/>
      <w:r w:rsidRPr="00CA3872">
        <w:t>Unit Sector</w:t>
      </w:r>
    </w:p>
    <w:p w:rsidR="00000000" w:rsidRPr="00CA3872" w:rsidP="0000212D">
      <w:pPr>
        <w:pStyle w:val="BodyText"/>
      </w:pPr>
      <w:r w:rsidRPr="00CA3872">
        <w:t>Cellar Operations (CEL)</w:t>
      </w:r>
    </w:p>
    <w:p w:rsidR="00000000" w:rsidRPr="00CA3872" w:rsidP="00CA3872">
      <w:pPr>
        <w:pStyle w:val="Heading1"/>
      </w:pPr>
      <w:bookmarkStart w:id="5" w:name="O_995470"/>
      <w:bookmarkEnd w:id="5"/>
      <w:r w:rsidRPr="00CA38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2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rPr>
                <w:rStyle w:val="SpecialBold"/>
              </w:rPr>
              <w:t>Performance Criteria</w:t>
            </w:r>
          </w:p>
        </w:tc>
      </w:tr>
      <w:tr w:rsidTr="00002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1. Prepare the decanter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t>1.1 Identify and confirm production requirements</w:t>
            </w:r>
          </w:p>
          <w:p w:rsidR="00000000" w:rsidRPr="00CA3872" w:rsidP="00CA3872">
            <w:pPr>
              <w:pStyle w:val="BodyText"/>
            </w:pPr>
            <w:r w:rsidRPr="00CA3872">
              <w:t>1.2 Confirm availability and prepare product to meet decanter re</w:t>
            </w:r>
            <w:r w:rsidRPr="00CA3872">
              <w:t>quirements</w:t>
            </w:r>
          </w:p>
          <w:p w:rsidR="00000000" w:rsidRPr="00CA3872" w:rsidP="00CA3872">
            <w:pPr>
              <w:pStyle w:val="BodyText"/>
            </w:pPr>
            <w:r w:rsidRPr="00CA3872">
              <w:t xml:space="preserve">1.3 Confirm environmental guidelines and identify potential health </w:t>
            </w:r>
            <w:r w:rsidRPr="00CA3872">
              <w:t xml:space="preserve">and safety hazards and controls according to workplace procedures </w:t>
            </w:r>
          </w:p>
          <w:p w:rsidR="00000000" w:rsidRPr="00CA3872" w:rsidP="00CA3872">
            <w:pPr>
              <w:pStyle w:val="BodyText"/>
            </w:pPr>
            <w:r w:rsidRPr="00CA3872">
              <w:t>1.4 Select and fit personal protective clothing and equipment required for production</w:t>
            </w:r>
          </w:p>
          <w:p w:rsidR="00000000" w:rsidRPr="00CA3872" w:rsidP="00CA3872">
            <w:pPr>
              <w:pStyle w:val="BodyText"/>
            </w:pPr>
            <w:r w:rsidRPr="00CA3872">
              <w:t>1.5 Check equipment to confirm readiness for use according to workplace procedures</w:t>
            </w:r>
          </w:p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1.6 Set the process to meet decanter requirements</w:t>
            </w:r>
          </w:p>
        </w:tc>
      </w:tr>
      <w:tr w:rsidTr="00002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2. Operate and monitor the decanter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t>2.1 Start up the decanter process according to workplace procedures</w:t>
            </w:r>
          </w:p>
          <w:p w:rsidR="00000000" w:rsidRPr="00CA3872" w:rsidP="00CA3872">
            <w:pPr>
              <w:pStyle w:val="BodyText"/>
            </w:pPr>
            <w:r w:rsidRPr="00CA3872">
              <w:t>2.2 Monito</w:t>
            </w:r>
            <w:r w:rsidRPr="00CA3872">
              <w:t>r decanting process to confirm performance is maintained within specification</w:t>
            </w:r>
          </w:p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2.3 Identify and address non-conformance of product, process and equipment according to workplace procedures</w:t>
            </w:r>
          </w:p>
        </w:tc>
      </w:tr>
      <w:tr w:rsidTr="000021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3. Shut down the decanter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t>3.1 Identify and implement appropr</w:t>
            </w:r>
            <w:r w:rsidRPr="00CA3872">
              <w:t>iate shutdown procedures</w:t>
            </w:r>
          </w:p>
          <w:p w:rsidR="00000000" w:rsidRPr="00CA3872" w:rsidP="00CA3872">
            <w:pPr>
              <w:pStyle w:val="BodyText"/>
            </w:pPr>
            <w:r w:rsidRPr="00CA3872">
              <w:t>3.2 Dismantle equipment safely and prepare for cleaning</w:t>
            </w:r>
          </w:p>
          <w:p w:rsidR="00000000" w:rsidRPr="00CA3872" w:rsidP="00CA3872">
            <w:pPr>
              <w:pStyle w:val="BodyText"/>
            </w:pPr>
            <w:r w:rsidRPr="00CA3872">
              <w:t>3.3 Collect, treat and dispose of or recycle waste generated by both the process and cleaning procedures</w:t>
            </w:r>
          </w:p>
          <w:p w:rsidR="00000000" w:rsidRPr="00CA3872" w:rsidP="00CA3872">
            <w:pPr>
              <w:pStyle w:val="BodyText"/>
            </w:pPr>
            <w:r w:rsidRPr="00CA3872">
              <w:t xml:space="preserve">3.4 Record workplace information according to workplace requirements </w:t>
            </w:r>
          </w:p>
        </w:tc>
      </w:tr>
    </w:tbl>
    <w:p w:rsidR="00000000" w:rsidRPr="00CA3872" w:rsidP="00CA3872">
      <w:pPr>
        <w:pStyle w:val="BodyText"/>
      </w:pPr>
    </w:p>
    <w:p w:rsidR="00000000" w:rsidRPr="00CA3872" w:rsidP="00CA3872">
      <w:pPr>
        <w:pStyle w:val="AllowPageBreak"/>
      </w:pPr>
    </w:p>
    <w:p w:rsidR="00000000" w:rsidRPr="00CA3872" w:rsidP="00CA3872">
      <w:pPr>
        <w:pStyle w:val="Heading1"/>
      </w:pPr>
      <w:bookmarkStart w:id="6" w:name="O_995471"/>
      <w:bookmarkEnd w:id="6"/>
      <w:r w:rsidRPr="00CA3872">
        <w:t>Foundation Skills</w:t>
      </w:r>
    </w:p>
    <w:p w:rsidR="00000000" w:rsidRPr="0000212D" w:rsidP="0000212D">
      <w:pPr>
        <w:pStyle w:val="BodyText"/>
        <w:rPr>
          <w:i/>
        </w:rPr>
      </w:pPr>
      <w:r w:rsidRPr="0000212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rPr>
                <w:rStyle w:val="SpecialBold"/>
              </w:rPr>
              <w:t>Description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ListBullet"/>
              <w:rPr>
                <w:lang w:val="en-NZ"/>
              </w:rPr>
            </w:pPr>
            <w:r w:rsidRPr="00CA3872">
              <w:t xml:space="preserve">Interpret information from a variety of workplace documents 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ListBullet"/>
              <w:rPr>
                <w:lang w:val="en-NZ"/>
              </w:rPr>
            </w:pPr>
            <w:r w:rsidRPr="00CA3872">
              <w:t>Produce workplace documents in required format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ListBullet"/>
            </w:pPr>
            <w:r w:rsidRPr="00CA3872">
              <w:t>Perform calculations relating to measurements, quantities and operational specifications</w:t>
            </w:r>
          </w:p>
          <w:p w:rsidR="00000000" w:rsidP="00CA3872">
            <w:pPr>
              <w:pStyle w:val="ListBullet"/>
              <w:rPr>
                <w:lang w:val="en-NZ"/>
              </w:rPr>
            </w:pPr>
            <w:r w:rsidRPr="00CA3872">
              <w:t>Interpret symbols and numbers during monitoring of process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ListBullet"/>
              <w:rPr>
                <w:lang w:val="en-NZ"/>
              </w:rPr>
            </w:pPr>
            <w:r w:rsidRPr="00CA3872">
              <w:t>Apply workplace procedures and legislative responsibilities to own role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ListBullet"/>
              <w:rPr>
                <w:lang w:val="en-NZ"/>
              </w:rPr>
            </w:pPr>
            <w:r w:rsidRPr="00CA3872">
              <w:t>Use required communication mode to report operational information to rele</w:t>
            </w:r>
            <w:r w:rsidRPr="00CA3872">
              <w:t>vant personnel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ListBullet"/>
            </w:pPr>
            <w:r w:rsidRPr="00CA3872">
              <w:t>Plan and organise tasks required to achieve job requirements</w:t>
            </w:r>
          </w:p>
          <w:p w:rsidR="00000000" w:rsidRPr="00CA3872" w:rsidP="00CA3872">
            <w:pPr>
              <w:pStyle w:val="ListBullet"/>
            </w:pPr>
            <w:r w:rsidRPr="00CA3872">
              <w:t>Problem solve as issues arise</w:t>
            </w:r>
          </w:p>
        </w:tc>
      </w:tr>
    </w:tbl>
    <w:p w:rsidR="00000000" w:rsidRPr="00CA3872" w:rsidP="00CA3872">
      <w:pPr>
        <w:pStyle w:val="BodyText"/>
      </w:pPr>
    </w:p>
    <w:p w:rsidR="00000000" w:rsidRPr="00CA3872" w:rsidP="00CA3872">
      <w:pPr>
        <w:pStyle w:val="AllowPageBreak"/>
      </w:pPr>
    </w:p>
    <w:p w:rsidR="00000000" w:rsidRPr="00CA3872" w:rsidP="00CA3872">
      <w:pPr>
        <w:pStyle w:val="Heading1"/>
      </w:pPr>
      <w:bookmarkStart w:id="7" w:name="O_995473"/>
      <w:bookmarkEnd w:id="7"/>
      <w:r w:rsidRPr="00CA38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rPr>
                <w:rStyle w:val="SpecialBold"/>
              </w:rPr>
              <w:t>Equivalence status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t>FBPCEL3010 Operate the decanter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New unit to meet industry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t>No equivalent unit</w:t>
            </w:r>
          </w:p>
        </w:tc>
      </w:tr>
    </w:tbl>
    <w:p w:rsidR="00000000" w:rsidRPr="00CA3872" w:rsidP="00CA3872">
      <w:pPr>
        <w:pStyle w:val="BodyText"/>
      </w:pPr>
    </w:p>
    <w:p w:rsidR="00000000" w:rsidRPr="00CA3872" w:rsidP="00CA3872">
      <w:pPr>
        <w:pStyle w:val="AllowPageBreak"/>
      </w:pPr>
    </w:p>
    <w:p w:rsidR="00000000" w:rsidRPr="00CA3872" w:rsidP="00CA3872">
      <w:pPr>
        <w:pStyle w:val="Heading1"/>
      </w:pPr>
      <w:bookmarkStart w:id="8" w:name="O_995480"/>
      <w:bookmarkEnd w:id="8"/>
      <w:r w:rsidRPr="00CA3872">
        <w:t>Links</w:t>
      </w:r>
    </w:p>
    <w:p w:rsidR="00000000" w:rsidRPr="00CA3872" w:rsidP="0000212D">
      <w:pPr>
        <w:pStyle w:val="BodyText"/>
      </w:pPr>
      <w:r w:rsidRPr="00CA387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6D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3872" w:rsidP="0000212D">
      <w:pPr>
        <w:pStyle w:val="BodyText"/>
        <w:sectPr w:rsidSect="00CA38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3872" w:rsidP="00CA3872">
      <w:pPr>
        <w:pStyle w:val="SuperHeading"/>
      </w:pPr>
      <w:r w:rsidRPr="00CA3872">
        <w:t xml:space="preserve">Assessment </w:t>
      </w:r>
      <w:r w:rsidRPr="00CA3872">
        <w:t>Requirements for FBPCEL3010 Operate the decanter process</w:t>
      </w:r>
    </w:p>
    <w:p w:rsidR="00000000" w:rsidRPr="00CA3872" w:rsidP="00CA3872">
      <w:pPr>
        <w:pStyle w:val="Heading1"/>
      </w:pPr>
      <w:bookmarkStart w:id="9" w:name="O_995475"/>
      <w:bookmarkEnd w:id="9"/>
      <w:r w:rsidRPr="00CA38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rPr>
                <w:rStyle w:val="SpecialBold"/>
              </w:rPr>
              <w:t>Comments</w:t>
            </w:r>
          </w:p>
        </w:tc>
      </w:tr>
      <w:tr w:rsidTr="00CA38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872">
            <w:pPr>
              <w:pStyle w:val="BodyText"/>
              <w:rPr>
                <w:lang w:val="en-NZ"/>
              </w:rPr>
            </w:pPr>
            <w:r w:rsidRPr="00CA38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872" w:rsidP="00CA3872">
            <w:pPr>
              <w:pStyle w:val="BodyText"/>
            </w:pPr>
            <w:r w:rsidRPr="00CA3872">
              <w:t>This version released with FBP Food, Beverage and Pharmaceutical Training Package Version 2.0</w:t>
            </w:r>
          </w:p>
        </w:tc>
      </w:tr>
    </w:tbl>
    <w:p w:rsidR="00000000" w:rsidRPr="00CA3872" w:rsidP="00CA3872">
      <w:pPr>
        <w:pStyle w:val="BodyText"/>
      </w:pPr>
    </w:p>
    <w:p w:rsidR="00000000" w:rsidRPr="00CA3872" w:rsidP="00CA3872">
      <w:pPr>
        <w:pStyle w:val="AllowPageBreak"/>
      </w:pPr>
    </w:p>
    <w:p w:rsidR="00000000" w:rsidRPr="00CA3872" w:rsidP="00CA3872">
      <w:pPr>
        <w:pStyle w:val="Heading1"/>
      </w:pPr>
      <w:bookmarkStart w:id="10" w:name="O_995476"/>
      <w:bookmarkEnd w:id="10"/>
      <w:r w:rsidRPr="00CA3872">
        <w:t>Performance Evidence</w:t>
      </w:r>
    </w:p>
    <w:p w:rsidR="00000000" w:rsidRPr="00CA3872" w:rsidP="0000212D">
      <w:pPr>
        <w:pStyle w:val="BodyText"/>
      </w:pPr>
      <w:r w:rsidRPr="00CA3872">
        <w:t xml:space="preserve">An individual demonstrating competency must satisfy all of the elements and performance criteria in this unit. </w:t>
      </w:r>
    </w:p>
    <w:p w:rsidR="00000000" w:rsidRPr="00CA3872" w:rsidP="0000212D">
      <w:pPr>
        <w:pStyle w:val="BodyText"/>
      </w:pPr>
      <w:r w:rsidRPr="00CA3872">
        <w:t>There must be evidence that the individual has demonstrated the following at least once:</w:t>
      </w:r>
    </w:p>
    <w:p w:rsidR="00000000" w:rsidRPr="00CA3872" w:rsidP="00CA3872">
      <w:pPr>
        <w:pStyle w:val="ListBullet"/>
      </w:pPr>
      <w:r w:rsidRPr="00CA3872">
        <w:t>accessing workplace information to identify decanter r</w:t>
      </w:r>
      <w:r w:rsidRPr="00CA3872">
        <w:t>equirements</w:t>
      </w:r>
    </w:p>
    <w:p w:rsidR="00000000" w:rsidRPr="00CA3872" w:rsidP="00CA3872">
      <w:pPr>
        <w:pStyle w:val="ListBullet"/>
      </w:pPr>
      <w:r w:rsidRPr="00CA3872">
        <w:t>selecting, fitting and using personal protective equipment (PPE)</w:t>
      </w:r>
    </w:p>
    <w:p w:rsidR="00000000" w:rsidRPr="00CA3872" w:rsidP="00CA3872">
      <w:pPr>
        <w:pStyle w:val="ListBullet"/>
      </w:pPr>
      <w:r w:rsidRPr="00CA3872">
        <w:t>confirming supply of necessary product and services</w:t>
      </w:r>
    </w:p>
    <w:p w:rsidR="00000000" w:rsidRPr="00CA3872" w:rsidP="00CA3872">
      <w:pPr>
        <w:pStyle w:val="ListBullet"/>
      </w:pPr>
      <w:r w:rsidRPr="00CA3872">
        <w:t xml:space="preserve">confirming equipment status and condition </w:t>
      </w:r>
    </w:p>
    <w:p w:rsidR="00000000" w:rsidRPr="00CA3872" w:rsidP="00CA3872">
      <w:pPr>
        <w:pStyle w:val="ListBullet"/>
      </w:pPr>
      <w:r w:rsidRPr="00CA3872">
        <w:t>setting up and starting up the decanter process</w:t>
      </w:r>
    </w:p>
    <w:p w:rsidR="00000000" w:rsidRPr="00CA3872" w:rsidP="00CA3872">
      <w:pPr>
        <w:pStyle w:val="ListBullet"/>
      </w:pPr>
      <w:r w:rsidRPr="00CA3872">
        <w:t xml:space="preserve">monitoring the process and equipment operation to identify non-conformance results </w:t>
      </w:r>
    </w:p>
    <w:p w:rsidR="00000000" w:rsidRPr="00CA3872" w:rsidP="00CA3872">
      <w:pPr>
        <w:pStyle w:val="ListBullet"/>
      </w:pPr>
      <w:r w:rsidRPr="00CA3872">
        <w:t xml:space="preserve">taking corrective action in response to non-conformance results </w:t>
      </w:r>
    </w:p>
    <w:p w:rsidR="00000000" w:rsidRPr="00CA3872" w:rsidP="00CA3872">
      <w:pPr>
        <w:pStyle w:val="ListBullet"/>
      </w:pPr>
      <w:r w:rsidRPr="00CA3872">
        <w:t>following equipment shutdown procedures</w:t>
      </w:r>
    </w:p>
    <w:p w:rsidR="00000000" w:rsidRPr="00CA3872" w:rsidP="00CA3872">
      <w:pPr>
        <w:pStyle w:val="ListBullet"/>
      </w:pPr>
      <w:r w:rsidRPr="00CA3872">
        <w:t>preparing equipment for cleaning including draining and dismantling</w:t>
      </w:r>
      <w:r w:rsidRPr="00CA3872">
        <w:t xml:space="preserve"> equipment, and removing waste either manually or by rinsing, in preparation for cleaning and sanitation</w:t>
      </w:r>
    </w:p>
    <w:p w:rsidR="00000000" w:rsidRPr="00CA3872" w:rsidP="00CA3872">
      <w:pPr>
        <w:pStyle w:val="ListBullet"/>
      </w:pPr>
      <w:r w:rsidRPr="00CA3872">
        <w:t>conducting work according to environmental and health and safety requirements.</w:t>
      </w:r>
    </w:p>
    <w:p w:rsidR="00000000" w:rsidRPr="00CA3872" w:rsidP="00CA3872">
      <w:pPr>
        <w:pStyle w:val="AllowPageBreak"/>
      </w:pPr>
    </w:p>
    <w:p w:rsidR="00000000" w:rsidRPr="00CA3872" w:rsidP="00CA3872">
      <w:pPr>
        <w:pStyle w:val="Heading1"/>
      </w:pPr>
      <w:bookmarkStart w:id="11" w:name="O_995477"/>
      <w:bookmarkEnd w:id="11"/>
      <w:r w:rsidRPr="00CA3872">
        <w:t>Knowledge Evidence</w:t>
      </w:r>
    </w:p>
    <w:p w:rsidR="00000000" w:rsidRPr="00CA3872" w:rsidP="0000212D">
      <w:pPr>
        <w:pStyle w:val="BodyText"/>
      </w:pPr>
      <w:r w:rsidRPr="00CA3872">
        <w:t>An individual must be able to demons</w:t>
      </w:r>
      <w:r w:rsidRPr="00CA3872">
        <w:t>trate the knowledge required to perform the tasks outlined in the elements and performance criteria of this unit. This includes knowledge of:</w:t>
      </w:r>
    </w:p>
    <w:p w:rsidR="00000000" w:rsidRPr="00CA3872" w:rsidP="00CA3872">
      <w:pPr>
        <w:pStyle w:val="ListBullet"/>
      </w:pPr>
      <w:r w:rsidRPr="00CA3872">
        <w:t>purpose and principles of decanter operation</w:t>
      </w:r>
    </w:p>
    <w:p w:rsidR="00000000" w:rsidRPr="00CA3872" w:rsidP="00CA3872">
      <w:pPr>
        <w:pStyle w:val="ListBullet"/>
      </w:pPr>
      <w:r w:rsidRPr="00CA3872">
        <w:t>links between decanter and related processes</w:t>
      </w:r>
    </w:p>
    <w:p w:rsidR="00000000" w:rsidRPr="00CA3872" w:rsidP="00CA3872">
      <w:pPr>
        <w:pStyle w:val="ListBullet"/>
      </w:pPr>
      <w:r w:rsidRPr="00CA3872">
        <w:t>stages and changes whic</w:t>
      </w:r>
      <w:r w:rsidRPr="00CA3872">
        <w:t>h occur during decanter operation</w:t>
      </w:r>
    </w:p>
    <w:p w:rsidR="00000000" w:rsidRPr="00CA3872" w:rsidP="00CA3872">
      <w:pPr>
        <w:pStyle w:val="ListBullet"/>
      </w:pPr>
      <w:r w:rsidRPr="00CA3872">
        <w:t>effect of process stages on end product</w:t>
      </w:r>
    </w:p>
    <w:p w:rsidR="00000000" w:rsidRPr="00CA3872" w:rsidP="00CA3872">
      <w:pPr>
        <w:pStyle w:val="ListBullet"/>
      </w:pPr>
      <w:r w:rsidRPr="00CA3872">
        <w:t>quality characteristics and uses of decanter product</w:t>
      </w:r>
    </w:p>
    <w:p w:rsidR="00000000" w:rsidRPr="00CA3872" w:rsidP="00CA3872">
      <w:pPr>
        <w:pStyle w:val="ListBullet"/>
      </w:pPr>
      <w:r w:rsidRPr="00CA3872">
        <w:t>product preparation requirements and effect of variation on the process</w:t>
      </w:r>
    </w:p>
    <w:p w:rsidR="00000000" w:rsidRPr="00CA3872" w:rsidP="00CA3872">
      <w:pPr>
        <w:pStyle w:val="ListBullet"/>
      </w:pPr>
      <w:r w:rsidRPr="00CA3872">
        <w:t>main methods used in decanter process:</w:t>
      </w:r>
    </w:p>
    <w:p w:rsidR="00000000" w:rsidRPr="00CA3872" w:rsidP="00CA3872">
      <w:pPr>
        <w:pStyle w:val="ListBullet2"/>
      </w:pPr>
      <w:r w:rsidRPr="00CA3872">
        <w:t>continuous proces</w:t>
      </w:r>
      <w:r w:rsidRPr="00CA3872">
        <w:t>sing</w:t>
      </w:r>
    </w:p>
    <w:p w:rsidR="00000000" w:rsidRPr="00CA3872" w:rsidP="00CA3872">
      <w:pPr>
        <w:pStyle w:val="ListBullet2"/>
      </w:pPr>
      <w:r w:rsidRPr="00CA3872">
        <w:t>destemmer/crusher</w:t>
      </w:r>
    </w:p>
    <w:p w:rsidR="00000000" w:rsidRPr="00CA3872" w:rsidP="00CA3872">
      <w:pPr>
        <w:pStyle w:val="ListBullet2"/>
      </w:pPr>
      <w:r w:rsidRPr="00CA3872">
        <w:t>decanter bowl</w:t>
      </w:r>
    </w:p>
    <w:p w:rsidR="00000000" w:rsidRPr="00CA3872" w:rsidP="00CA3872">
      <w:pPr>
        <w:pStyle w:val="ListBullet2"/>
      </w:pPr>
      <w:r w:rsidRPr="00CA3872">
        <w:t>decanter pomace</w:t>
      </w:r>
    </w:p>
    <w:p w:rsidR="00000000" w:rsidRPr="00CA3872" w:rsidP="00CA3872">
      <w:pPr>
        <w:pStyle w:val="ListBullet2"/>
      </w:pPr>
      <w:r w:rsidRPr="00CA3872">
        <w:t>multiple applications</w:t>
      </w:r>
    </w:p>
    <w:p w:rsidR="00000000" w:rsidRPr="00CA3872" w:rsidP="00CA3872">
      <w:pPr>
        <w:pStyle w:val="ListBullet"/>
      </w:pPr>
      <w:r w:rsidRPr="00CA3872">
        <w:t>decanter equipment and instrumentation components, purpose and operation</w:t>
      </w:r>
    </w:p>
    <w:p w:rsidR="00000000" w:rsidRPr="00CA3872" w:rsidP="00CA3872">
      <w:pPr>
        <w:pStyle w:val="ListBullet"/>
      </w:pPr>
      <w:r w:rsidRPr="00CA3872">
        <w:t>significance and method of monitoring the process</w:t>
      </w:r>
    </w:p>
    <w:p w:rsidR="00000000" w:rsidRPr="00CA3872" w:rsidP="00CA3872">
      <w:pPr>
        <w:pStyle w:val="ListBullet"/>
      </w:pPr>
      <w:r w:rsidRPr="00CA3872">
        <w:t>common causes of variation and corrective action required</w:t>
      </w:r>
    </w:p>
    <w:p w:rsidR="00000000" w:rsidRPr="00CA3872" w:rsidP="00CA3872">
      <w:pPr>
        <w:pStyle w:val="ListBullet"/>
      </w:pPr>
      <w:r w:rsidRPr="00CA3872">
        <w:t>routine shutdown and cleaning preparation requirements</w:t>
      </w:r>
    </w:p>
    <w:p w:rsidR="00000000" w:rsidRPr="00CA3872" w:rsidP="00CA3872">
      <w:pPr>
        <w:pStyle w:val="ListBullet"/>
      </w:pPr>
      <w:r w:rsidRPr="00CA3872">
        <w:t>health and safety hazards and controls</w:t>
      </w:r>
    </w:p>
    <w:p w:rsidR="00000000" w:rsidRPr="00CA3872" w:rsidP="00CA3872">
      <w:pPr>
        <w:pStyle w:val="ListBullet"/>
      </w:pPr>
      <w:r w:rsidRPr="00CA3872">
        <w:t>procedures and responsibility for:</w:t>
      </w:r>
    </w:p>
    <w:p w:rsidR="00000000" w:rsidRPr="00CA3872" w:rsidP="00CA3872">
      <w:pPr>
        <w:pStyle w:val="ListBullet2"/>
      </w:pPr>
      <w:r w:rsidRPr="00CA3872">
        <w:t>reporting problems</w:t>
      </w:r>
    </w:p>
    <w:p w:rsidR="00000000" w:rsidRPr="00CA3872" w:rsidP="00CA3872">
      <w:pPr>
        <w:pStyle w:val="ListBullet2"/>
      </w:pPr>
      <w:r w:rsidRPr="00CA3872">
        <w:t>environmental issues and controls</w:t>
      </w:r>
    </w:p>
    <w:p w:rsidR="00000000" w:rsidRPr="00CA3872" w:rsidP="00CA3872">
      <w:pPr>
        <w:pStyle w:val="ListBullet2"/>
      </w:pPr>
      <w:r w:rsidRPr="00CA3872">
        <w:t xml:space="preserve">waste handling requirements </w:t>
      </w:r>
    </w:p>
    <w:p w:rsidR="00000000" w:rsidRPr="00CA3872" w:rsidP="00CA3872">
      <w:pPr>
        <w:pStyle w:val="ListBullet2"/>
      </w:pPr>
      <w:r w:rsidRPr="00CA3872">
        <w:t>recording requirements.</w:t>
      </w:r>
    </w:p>
    <w:p w:rsidR="00000000" w:rsidRPr="00CA3872" w:rsidP="00CA3872">
      <w:pPr>
        <w:pStyle w:val="AllowPageBreak"/>
      </w:pPr>
    </w:p>
    <w:p w:rsidR="00000000" w:rsidRPr="00CA3872" w:rsidP="00CA3872">
      <w:pPr>
        <w:pStyle w:val="Heading1"/>
      </w:pPr>
      <w:bookmarkStart w:id="12" w:name="O_995478"/>
      <w:bookmarkEnd w:id="12"/>
      <w:r w:rsidRPr="00CA3872">
        <w:t>Assessment Conditions</w:t>
      </w:r>
    </w:p>
    <w:p w:rsidR="00000000" w:rsidRPr="00CA3872" w:rsidP="0000212D">
      <w:pPr>
        <w:pStyle w:val="BodyText"/>
      </w:pPr>
      <w:r w:rsidRPr="00CA3872">
        <w:t xml:space="preserve">Assessment of skills must take place under the following conditions: </w:t>
      </w:r>
    </w:p>
    <w:p w:rsidR="00000000" w:rsidRPr="00CA3872" w:rsidP="00CA3872">
      <w:pPr>
        <w:pStyle w:val="ListBullet"/>
      </w:pPr>
      <w:r w:rsidRPr="00CA3872">
        <w:t>physical conditions:</w:t>
      </w:r>
    </w:p>
    <w:p w:rsidR="00000000" w:rsidRPr="00CA3872" w:rsidP="00CA3872">
      <w:pPr>
        <w:pStyle w:val="ListBullet2"/>
      </w:pPr>
      <w:r w:rsidRPr="00CA3872">
        <w:t>a wine operations workplace or an environment that accurately represents workplace conditions</w:t>
      </w:r>
    </w:p>
    <w:p w:rsidR="00000000" w:rsidRPr="00CA3872" w:rsidP="00CA3872">
      <w:pPr>
        <w:pStyle w:val="ListBullet"/>
      </w:pPr>
      <w:r w:rsidRPr="00CA3872">
        <w:t>resources, equipment and materials:</w:t>
      </w:r>
    </w:p>
    <w:p w:rsidR="00000000" w:rsidRPr="00CA3872" w:rsidP="00CA3872">
      <w:pPr>
        <w:pStyle w:val="ListBullet2"/>
      </w:pPr>
      <w:r w:rsidRPr="00CA3872">
        <w:t>PPE for d</w:t>
      </w:r>
      <w:r w:rsidRPr="00CA3872">
        <w:t>ecanter processing</w:t>
      </w:r>
    </w:p>
    <w:p w:rsidR="00000000" w:rsidRPr="00CA3872" w:rsidP="00CA3872">
      <w:pPr>
        <w:pStyle w:val="ListBullet2"/>
      </w:pPr>
      <w:r w:rsidRPr="00CA3872">
        <w:t>decanter equipment and materials required for process</w:t>
      </w:r>
    </w:p>
    <w:p w:rsidR="00000000" w:rsidRPr="00CA3872" w:rsidP="00CA3872">
      <w:pPr>
        <w:pStyle w:val="ListBullet2"/>
      </w:pPr>
      <w:r w:rsidRPr="00CA3872">
        <w:t>system for recording and reporting information</w:t>
      </w:r>
    </w:p>
    <w:p w:rsidR="00000000" w:rsidRPr="00CA3872" w:rsidP="00CA3872">
      <w:pPr>
        <w:pStyle w:val="ListBullet"/>
      </w:pPr>
      <w:r w:rsidRPr="00CA3872">
        <w:t>specifications:</w:t>
      </w:r>
    </w:p>
    <w:p w:rsidR="00000000" w:rsidRPr="00CA3872" w:rsidP="00CA3872">
      <w:pPr>
        <w:pStyle w:val="ListBullet2"/>
      </w:pPr>
      <w:r w:rsidRPr="00CA3872">
        <w:t>workplace procedures for decanter process.</w:t>
      </w:r>
    </w:p>
    <w:p w:rsidR="00000000" w:rsidRPr="00CA3872" w:rsidP="0000212D">
      <w:pPr>
        <w:pStyle w:val="BodyText"/>
      </w:pPr>
      <w:r w:rsidRPr="00CA3872">
        <w:t>Assessors of this unit must satisfy the requirements for assessors in applicable vocational education and training legislation, frameworks and/or standards.</w:t>
      </w:r>
    </w:p>
    <w:p w:rsidR="00000000" w:rsidRPr="00CA3872" w:rsidP="00CA3872">
      <w:pPr>
        <w:pStyle w:val="Heading1"/>
      </w:pPr>
      <w:bookmarkStart w:id="13" w:name="O_995481"/>
      <w:bookmarkEnd w:id="13"/>
      <w:r w:rsidRPr="00CA3872">
        <w:t>Links</w:t>
      </w:r>
    </w:p>
    <w:p w:rsidR="00000000" w:rsidRPr="00CA3872" w:rsidP="0000212D">
      <w:pPr>
        <w:pStyle w:val="BodyText"/>
      </w:pPr>
      <w:r w:rsidRPr="00CA387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6D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3872" w:rsidP="00CA3872"/>
    <w:sectPr w:rsidSect="00CA38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72" w:rsidRPr="0000212D" w:rsidP="00002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2D" w:rsidP="00CA3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12D" w:rsidP="00CA3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212D" w:rsidP="00CA38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72" w:rsidP="00CA3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212D">
      <w:t>Approved</w:t>
    </w:r>
    <w:r w:rsidR="000021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21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212D">
      <w:rPr>
        <w:noProof/>
      </w:rPr>
      <w:t>4</w:t>
    </w:r>
    <w:r>
      <w:rPr>
        <w:noProof/>
      </w:rPr>
      <w:fldChar w:fldCharType="end"/>
    </w:r>
  </w:p>
  <w:p w:rsidR="00CA3872" w:rsidP="00CA3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21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212D">
      <w:t>Manufacturing Industry Skills Alliance</w:t>
    </w:r>
    <w:r w:rsidR="0000212D">
      <w:fldChar w:fldCharType="end"/>
    </w:r>
  </w:p>
  <w:p w:rsidR="00CA3872" w:rsidP="00CA3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872" w:rsidRPr="0000212D" w:rsidP="00002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2D" w:rsidRPr="002D2AF8" w:rsidP="00CA3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FBPCEL3010 Operate the decanter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212D" w:rsidP="00CA38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872" w:rsidRPr="002D2AF8" w:rsidP="00CA3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212D">
      <w:t>FBPCEL3010 Operate the decanter process</w:t>
    </w:r>
    <w:r w:rsidR="000021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212D">
      <w:rPr>
        <w:noProof/>
      </w:rPr>
      <w:t>2 March 2025</w:t>
    </w:r>
    <w:r>
      <w:fldChar w:fldCharType="end"/>
    </w:r>
  </w:p>
  <w:p w:rsidR="00CA3872" w:rsidP="00CA3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CE7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DAD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5EC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872"/>
  </w:style>
  <w:style w:type="character" w:customStyle="1" w:styleId="Heading1Char">
    <w:name w:val="Heading 1 Char"/>
    <w:basedOn w:val="DefaultParagraphFont"/>
    <w:link w:val="Heading1"/>
    <w:rsid w:val="00CA3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8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872"/>
    <w:rPr>
      <w:b/>
      <w:spacing w:val="0"/>
    </w:rPr>
  </w:style>
  <w:style w:type="paragraph" w:styleId="ListBullet2">
    <w:name w:val="List Bullet 2"/>
    <w:basedOn w:val="List2"/>
    <w:rsid w:val="00CA38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3872"/>
    <w:rPr>
      <w:i/>
    </w:rPr>
  </w:style>
  <w:style w:type="paragraph" w:customStyle="1" w:styleId="SuperHeading">
    <w:name w:val="SuperHeading"/>
    <w:basedOn w:val="Normal"/>
    <w:rsid w:val="00CA3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8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872"/>
  </w:style>
  <w:style w:type="paragraph" w:styleId="TableofFigures">
    <w:name w:val="table of figures"/>
    <w:basedOn w:val="Normal"/>
    <w:next w:val="Normal"/>
    <w:semiHidden/>
    <w:rsid w:val="00CA3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8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872"/>
    <w:rPr>
      <w:rFonts w:ascii="Wingdings" w:hAnsi="Wingdings"/>
    </w:rPr>
  </w:style>
  <w:style w:type="paragraph" w:customStyle="1" w:styleId="TableHeading">
    <w:name w:val="Table Heading"/>
    <w:basedOn w:val="HeadingBase"/>
    <w:rsid w:val="00CA3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872"/>
    <w:rPr>
      <w:color w:val="0033CC"/>
      <w:u w:val="none"/>
    </w:rPr>
  </w:style>
  <w:style w:type="paragraph" w:customStyle="1" w:styleId="BodyTextRight">
    <w:name w:val="Body Text Right"/>
    <w:basedOn w:val="BodyText"/>
    <w:rsid w:val="00CA3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8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872"/>
    <w:rPr>
      <w:sz w:val="32"/>
    </w:rPr>
  </w:style>
  <w:style w:type="paragraph" w:customStyle="1" w:styleId="HeadingProcedure">
    <w:name w:val="Heading Procedure"/>
    <w:basedOn w:val="HeadingBase"/>
    <w:next w:val="Normal"/>
    <w:rsid w:val="00CA3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872"/>
    <w:pPr>
      <w:spacing w:before="60" w:after="60"/>
    </w:pPr>
  </w:style>
  <w:style w:type="paragraph" w:styleId="ListContinue">
    <w:name w:val="List Continue"/>
    <w:basedOn w:val="List"/>
    <w:rsid w:val="00CA3872"/>
    <w:pPr>
      <w:ind w:firstLine="0"/>
    </w:pPr>
  </w:style>
  <w:style w:type="paragraph" w:customStyle="1" w:styleId="ListNote">
    <w:name w:val="List Note"/>
    <w:basedOn w:val="List"/>
    <w:rsid w:val="00CA3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872"/>
    <w:rPr>
      <w:rFonts w:ascii="Courier New" w:hAnsi="Courier New"/>
    </w:rPr>
  </w:style>
  <w:style w:type="paragraph" w:customStyle="1" w:styleId="NoteBullet">
    <w:name w:val="Note Bullet"/>
    <w:basedOn w:val="Note"/>
    <w:rsid w:val="00CA3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8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872"/>
    <w:rPr>
      <w:b/>
      <w:smallCaps/>
    </w:rPr>
  </w:style>
  <w:style w:type="paragraph" w:customStyle="1" w:styleId="TableListNumber">
    <w:name w:val="Table List Number"/>
    <w:basedOn w:val="ListNumber"/>
    <w:rsid w:val="00CA3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872"/>
    <w:pPr>
      <w:numPr>
        <w:numId w:val="9"/>
      </w:numPr>
    </w:pPr>
  </w:style>
  <w:style w:type="paragraph" w:customStyle="1" w:styleId="ListAlpha2">
    <w:name w:val="List Alpha 2"/>
    <w:basedOn w:val="List2"/>
    <w:rsid w:val="00CA3872"/>
    <w:pPr>
      <w:numPr>
        <w:numId w:val="8"/>
      </w:numPr>
    </w:pPr>
  </w:style>
  <w:style w:type="paragraph" w:styleId="List2">
    <w:name w:val="List 2"/>
    <w:basedOn w:val="BodyText"/>
    <w:rsid w:val="00CA3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8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8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872"/>
    <w:pPr>
      <w:numPr>
        <w:numId w:val="4"/>
      </w:numPr>
    </w:pPr>
  </w:style>
  <w:style w:type="paragraph" w:styleId="ListContinue2">
    <w:name w:val="List Continue 2"/>
    <w:basedOn w:val="List2"/>
    <w:rsid w:val="00CA3872"/>
    <w:pPr>
      <w:ind w:firstLine="0"/>
    </w:pPr>
  </w:style>
  <w:style w:type="paragraph" w:styleId="ListContinue3">
    <w:name w:val="List Continue 3"/>
    <w:basedOn w:val="List3"/>
    <w:rsid w:val="00CA3872"/>
    <w:pPr>
      <w:ind w:left="1021" w:firstLine="0"/>
    </w:pPr>
  </w:style>
  <w:style w:type="paragraph" w:styleId="ListContinue4">
    <w:name w:val="List Continue 4"/>
    <w:basedOn w:val="List4"/>
    <w:rsid w:val="00CA3872"/>
    <w:pPr>
      <w:ind w:firstLine="0"/>
    </w:pPr>
  </w:style>
  <w:style w:type="paragraph" w:styleId="ListContinue5">
    <w:name w:val="List Continue 5"/>
    <w:basedOn w:val="List5"/>
    <w:rsid w:val="00CA3872"/>
    <w:pPr>
      <w:ind w:firstLine="0"/>
    </w:pPr>
  </w:style>
  <w:style w:type="paragraph" w:styleId="ListNumber3">
    <w:name w:val="List Number 3"/>
    <w:basedOn w:val="List3"/>
    <w:rsid w:val="00CA3872"/>
    <w:pPr>
      <w:numPr>
        <w:numId w:val="5"/>
      </w:numPr>
    </w:pPr>
  </w:style>
  <w:style w:type="paragraph" w:styleId="ListNumber4">
    <w:name w:val="List Number 4"/>
    <w:basedOn w:val="List4"/>
    <w:rsid w:val="00CA3872"/>
    <w:pPr>
      <w:numPr>
        <w:numId w:val="6"/>
      </w:numPr>
    </w:pPr>
  </w:style>
  <w:style w:type="paragraph" w:styleId="ListNumber5">
    <w:name w:val="List Number 5"/>
    <w:basedOn w:val="List5"/>
    <w:rsid w:val="00CA3872"/>
    <w:pPr>
      <w:numPr>
        <w:numId w:val="7"/>
      </w:numPr>
    </w:pPr>
  </w:style>
  <w:style w:type="paragraph" w:styleId="BlockText">
    <w:name w:val="Block Text"/>
    <w:basedOn w:val="Normal"/>
    <w:rsid w:val="00CA3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872"/>
    <w:rPr>
      <w:sz w:val="16"/>
      <w:vertAlign w:val="superscript"/>
    </w:rPr>
  </w:style>
  <w:style w:type="character" w:customStyle="1" w:styleId="Symbols">
    <w:name w:val="Symbols"/>
    <w:basedOn w:val="DefaultParagraphFont"/>
    <w:rsid w:val="00CA3872"/>
    <w:rPr>
      <w:rFonts w:ascii="Symbol" w:hAnsi="Symbol"/>
    </w:rPr>
  </w:style>
  <w:style w:type="character" w:customStyle="1" w:styleId="MenuOptions">
    <w:name w:val="Menu Options"/>
    <w:basedOn w:val="DefaultParagraphFont"/>
    <w:rsid w:val="00CA3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872"/>
    <w:rPr>
      <w:b/>
    </w:rPr>
  </w:style>
  <w:style w:type="character" w:customStyle="1" w:styleId="Underlined">
    <w:name w:val="Underlined"/>
    <w:basedOn w:val="DefaultParagraphFont"/>
    <w:rsid w:val="00CA3872"/>
    <w:rPr>
      <w:u w:val="single"/>
    </w:rPr>
  </w:style>
  <w:style w:type="paragraph" w:customStyle="1" w:styleId="TableBodyTextRight">
    <w:name w:val="Table Body Text Right"/>
    <w:basedOn w:val="TableBodyText"/>
    <w:rsid w:val="00CA3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872"/>
    <w:rPr>
      <w:sz w:val="18"/>
    </w:rPr>
  </w:style>
  <w:style w:type="paragraph" w:customStyle="1" w:styleId="BodySmallRight">
    <w:name w:val="Body Small Right"/>
    <w:basedOn w:val="BodyTextRight"/>
    <w:rsid w:val="00CA3872"/>
    <w:rPr>
      <w:sz w:val="18"/>
      <w:szCs w:val="18"/>
    </w:rPr>
  </w:style>
  <w:style w:type="paragraph" w:customStyle="1" w:styleId="MarginEdition">
    <w:name w:val="Margin Edition"/>
    <w:basedOn w:val="MarginNote"/>
    <w:rsid w:val="00CA3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872"/>
    <w:rPr>
      <w:sz w:val="2"/>
      <w:szCs w:val="2"/>
    </w:rPr>
  </w:style>
  <w:style w:type="character" w:customStyle="1" w:styleId="Small">
    <w:name w:val="Small"/>
    <w:basedOn w:val="DefaultParagraphFont"/>
    <w:rsid w:val="00CA3872"/>
    <w:rPr>
      <w:sz w:val="16"/>
    </w:rPr>
  </w:style>
  <w:style w:type="paragraph" w:customStyle="1" w:styleId="WideTable">
    <w:name w:val="Wide Table"/>
    <w:basedOn w:val="Normal"/>
    <w:rsid w:val="00CA3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872"/>
  </w:style>
  <w:style w:type="paragraph" w:styleId="Quote">
    <w:name w:val="Quote"/>
    <w:basedOn w:val="Heading1"/>
    <w:link w:val="QuoteChar"/>
    <w:qFormat/>
    <w:rsid w:val="00CA3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872"/>
    <w:pPr>
      <w:pageBreakBefore/>
    </w:pPr>
  </w:style>
  <w:style w:type="paragraph" w:customStyle="1" w:styleId="Border">
    <w:name w:val="Border"/>
    <w:basedOn w:val="Normal"/>
    <w:qFormat/>
    <w:rsid w:val="00CA3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872"/>
    <w:rPr>
      <w:u w:val="single"/>
    </w:rPr>
  </w:style>
  <w:style w:type="character" w:customStyle="1" w:styleId="BoldandItalics">
    <w:name w:val="Bold and Italics"/>
    <w:qFormat/>
    <w:rsid w:val="00CA3872"/>
    <w:rPr>
      <w:b/>
      <w:i/>
      <w:u w:val="none"/>
    </w:rPr>
  </w:style>
  <w:style w:type="paragraph" w:styleId="BalloonText">
    <w:name w:val="Balloon Text"/>
    <w:basedOn w:val="Normal"/>
    <w:link w:val="BalloonTextChar"/>
    <w:rsid w:val="00CA3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872"/>
    <w:pPr>
      <w:spacing w:before="0" w:after="0"/>
    </w:pPr>
  </w:style>
  <w:style w:type="paragraph" w:customStyle="1" w:styleId="BodyTextBold">
    <w:name w:val="Body Text Bold"/>
    <w:basedOn w:val="BodyText"/>
    <w:qFormat/>
    <w:rsid w:val="00CA3872"/>
    <w:rPr>
      <w:b/>
    </w:rPr>
  </w:style>
  <w:style w:type="character" w:styleId="Hyperlink">
    <w:name w:val="Hyperlink"/>
    <w:basedOn w:val="DefaultParagraphFont"/>
    <w:uiPriority w:val="99"/>
    <w:unhideWhenUsed/>
    <w:rsid w:val="00002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5850</Characters>
  <Application>Microsoft Office Word</Application>
  <DocSecurity>0</DocSecurity>
  <Lines>195</Lines>
  <Paragraphs>146</Paragraphs>
  <ScaleCrop>false</ScaleCrop>
  <Company>Author-it Software Corporation Ltd.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FBPCEL3010 Operate the decanter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