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73E" w:rsidP="004177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FBPCEL3010 Operate the decanter process</w:t>
      </w:r>
      <w:r>
        <w:fldChar w:fldCharType="end"/>
      </w:r>
    </w:p>
    <w:p w:rsidR="0041773E" w:rsidP="0041773E">
      <w:pPr>
        <w:pStyle w:val="Version"/>
        <w:sectPr w:rsidSect="00F46F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6F75" w:rsidP="00F46F75">
      <w:pPr>
        <w:pStyle w:val="SuperHeading"/>
      </w:pPr>
      <w:r w:rsidRPr="00F46F75">
        <w:t>Assessment Requirements for FBPCEL3010 Operate the decanter process</w:t>
      </w:r>
    </w:p>
    <w:p w:rsidR="00000000" w:rsidRPr="00F46F75" w:rsidP="00F46F75">
      <w:pPr>
        <w:pStyle w:val="Heading1"/>
      </w:pPr>
      <w:bookmarkStart w:id="1" w:name="O_995475"/>
      <w:bookmarkEnd w:id="1"/>
      <w:r w:rsidRPr="00F46F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6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F75" w:rsidP="00F46F75">
            <w:pPr>
              <w:pStyle w:val="BodyText"/>
            </w:pPr>
            <w:r w:rsidRPr="00F46F7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F75">
            <w:pPr>
              <w:pStyle w:val="BodyText"/>
              <w:rPr>
                <w:lang w:val="en-NZ"/>
              </w:rPr>
            </w:pPr>
            <w:r w:rsidRPr="00F46F75">
              <w:rPr>
                <w:rStyle w:val="SpecialBold"/>
              </w:rPr>
              <w:t>Comments</w:t>
            </w:r>
          </w:p>
        </w:tc>
      </w:tr>
      <w:tr w:rsidTr="00F46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F75">
            <w:pPr>
              <w:pStyle w:val="BodyText"/>
              <w:rPr>
                <w:lang w:val="en-NZ"/>
              </w:rPr>
            </w:pPr>
            <w:r w:rsidRPr="00F46F7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F75" w:rsidP="00F46F75">
            <w:pPr>
              <w:pStyle w:val="BodyText"/>
            </w:pPr>
            <w:r w:rsidRPr="00F46F75">
              <w:t>This version released with FBP Food, Beverage and Pharmaceutical Training Package Version 2.0</w:t>
            </w:r>
          </w:p>
        </w:tc>
      </w:tr>
    </w:tbl>
    <w:p w:rsidR="00000000" w:rsidRPr="00F46F75" w:rsidP="00F46F75">
      <w:pPr>
        <w:pStyle w:val="BodyText"/>
      </w:pPr>
    </w:p>
    <w:p w:rsidR="00000000" w:rsidRPr="00F46F75" w:rsidP="00F46F75">
      <w:pPr>
        <w:pStyle w:val="AllowPageBreak"/>
      </w:pPr>
    </w:p>
    <w:p w:rsidR="00000000" w:rsidRPr="00F46F75" w:rsidP="00F46F75">
      <w:pPr>
        <w:pStyle w:val="Heading1"/>
      </w:pPr>
      <w:bookmarkStart w:id="2" w:name="O_995476"/>
      <w:bookmarkEnd w:id="2"/>
      <w:r w:rsidRPr="00F46F75">
        <w:t>Performance Evidence</w:t>
      </w:r>
    </w:p>
    <w:p w:rsidR="00000000" w:rsidRPr="00F46F75" w:rsidP="0041773E">
      <w:pPr>
        <w:pStyle w:val="BodyText"/>
      </w:pPr>
      <w:r w:rsidRPr="00F46F75">
        <w:t xml:space="preserve">An individual demonstrating competency must satisfy all of the elements and performance criteria in this unit. </w:t>
      </w:r>
    </w:p>
    <w:p w:rsidR="00000000" w:rsidRPr="00F46F75" w:rsidP="0041773E">
      <w:pPr>
        <w:pStyle w:val="BodyText"/>
      </w:pPr>
      <w:r w:rsidRPr="00F46F75">
        <w:t>There must be evidence that the individual has demonstrated the following at least once:</w:t>
      </w:r>
    </w:p>
    <w:p w:rsidR="00000000" w:rsidRPr="00F46F75" w:rsidP="00F46F75">
      <w:pPr>
        <w:pStyle w:val="ListBullet"/>
      </w:pPr>
      <w:r w:rsidRPr="00F46F75">
        <w:t>accessing workplace information t</w:t>
      </w:r>
      <w:r w:rsidRPr="00F46F75">
        <w:t>o identify decanter requirements</w:t>
      </w:r>
    </w:p>
    <w:p w:rsidR="00000000" w:rsidRPr="00F46F75" w:rsidP="00F46F75">
      <w:pPr>
        <w:pStyle w:val="ListBullet"/>
      </w:pPr>
      <w:r w:rsidRPr="00F46F75">
        <w:t>selecting, fitting and using personal protective equipment (PPE)</w:t>
      </w:r>
    </w:p>
    <w:p w:rsidR="00000000" w:rsidRPr="00F46F75" w:rsidP="00F46F75">
      <w:pPr>
        <w:pStyle w:val="ListBullet"/>
      </w:pPr>
      <w:r w:rsidRPr="00F46F75">
        <w:t>confirming supply of necessary product and services</w:t>
      </w:r>
    </w:p>
    <w:p w:rsidR="00000000" w:rsidRPr="00F46F75" w:rsidP="00F46F75">
      <w:pPr>
        <w:pStyle w:val="ListBullet"/>
      </w:pPr>
      <w:r w:rsidRPr="00F46F75">
        <w:t xml:space="preserve">confirming equipment status and condition </w:t>
      </w:r>
    </w:p>
    <w:p w:rsidR="00000000" w:rsidRPr="00F46F75" w:rsidP="00F46F75">
      <w:pPr>
        <w:pStyle w:val="ListBullet"/>
      </w:pPr>
      <w:r w:rsidRPr="00F46F75">
        <w:t>setting up and starting up the decanter process</w:t>
      </w:r>
    </w:p>
    <w:p w:rsidR="00000000" w:rsidRPr="00F46F75" w:rsidP="00F46F75">
      <w:pPr>
        <w:pStyle w:val="ListBullet"/>
      </w:pPr>
      <w:r w:rsidRPr="00F46F75">
        <w:t xml:space="preserve">monitoring the process and equipment operation to identify non-conformance results </w:t>
      </w:r>
    </w:p>
    <w:p w:rsidR="00000000" w:rsidRPr="00F46F75" w:rsidP="00F46F75">
      <w:pPr>
        <w:pStyle w:val="ListBullet"/>
      </w:pPr>
      <w:r w:rsidRPr="00F46F75">
        <w:t xml:space="preserve">taking corrective action in response to non-conformance results </w:t>
      </w:r>
    </w:p>
    <w:p w:rsidR="00000000" w:rsidRPr="00F46F75" w:rsidP="00F46F75">
      <w:pPr>
        <w:pStyle w:val="ListBullet"/>
      </w:pPr>
      <w:r w:rsidRPr="00F46F75">
        <w:t>following equipment shutdown procedures</w:t>
      </w:r>
    </w:p>
    <w:p w:rsidR="00000000" w:rsidRPr="00F46F75" w:rsidP="00F46F75">
      <w:pPr>
        <w:pStyle w:val="ListBullet"/>
      </w:pPr>
      <w:r w:rsidRPr="00F46F75">
        <w:t>preparing equipment for cleaning including draining and dismantling</w:t>
      </w:r>
      <w:r w:rsidRPr="00F46F75">
        <w:t xml:space="preserve"> equipment, and removing waste either manually or by rinsing, in preparation for cleaning and sanitation</w:t>
      </w:r>
    </w:p>
    <w:p w:rsidR="00000000" w:rsidRPr="00F46F75" w:rsidP="00F46F75">
      <w:pPr>
        <w:pStyle w:val="ListBullet"/>
      </w:pPr>
      <w:r w:rsidRPr="00F46F75">
        <w:t>conducting work according to environmental and health and safety requirements.</w:t>
      </w:r>
    </w:p>
    <w:p w:rsidR="00000000" w:rsidRPr="00F46F75" w:rsidP="00F46F75">
      <w:pPr>
        <w:pStyle w:val="AllowPageBreak"/>
      </w:pPr>
    </w:p>
    <w:p w:rsidR="00000000" w:rsidRPr="00F46F75" w:rsidP="00F46F75">
      <w:pPr>
        <w:pStyle w:val="Heading1"/>
      </w:pPr>
      <w:bookmarkStart w:id="3" w:name="O_995477"/>
      <w:bookmarkEnd w:id="3"/>
      <w:r w:rsidRPr="00F46F75">
        <w:t>Knowledge Evidence</w:t>
      </w:r>
    </w:p>
    <w:p w:rsidR="00000000" w:rsidRPr="00F46F75" w:rsidP="0041773E">
      <w:pPr>
        <w:pStyle w:val="BodyText"/>
      </w:pPr>
      <w:r w:rsidRPr="00F46F75">
        <w:t>An individual must be able to demons</w:t>
      </w:r>
      <w:r w:rsidRPr="00F46F75">
        <w:t>trate the knowledge required to perform the tasks outlined in the elements and performance criteria of this unit. This includes knowledge of:</w:t>
      </w:r>
    </w:p>
    <w:p w:rsidR="00000000" w:rsidRPr="00F46F75" w:rsidP="00F46F75">
      <w:pPr>
        <w:pStyle w:val="ListBullet"/>
      </w:pPr>
      <w:r w:rsidRPr="00F46F75">
        <w:t>purpose and principles of decanter operation</w:t>
      </w:r>
    </w:p>
    <w:p w:rsidR="00000000" w:rsidRPr="00F46F75" w:rsidP="00F46F75">
      <w:pPr>
        <w:pStyle w:val="ListBullet"/>
      </w:pPr>
      <w:r w:rsidRPr="00F46F75">
        <w:t>links between decanter and related processes</w:t>
      </w:r>
    </w:p>
    <w:p w:rsidR="00000000" w:rsidRPr="00F46F75" w:rsidP="00F46F75">
      <w:pPr>
        <w:pStyle w:val="ListBullet"/>
      </w:pPr>
      <w:r w:rsidRPr="00F46F75">
        <w:t>stages and changes whic</w:t>
      </w:r>
      <w:r w:rsidRPr="00F46F75">
        <w:t>h occur during decanter operation</w:t>
      </w:r>
    </w:p>
    <w:p w:rsidR="00000000" w:rsidRPr="00F46F75" w:rsidP="00F46F75">
      <w:pPr>
        <w:pStyle w:val="ListBullet"/>
      </w:pPr>
      <w:r w:rsidRPr="00F46F75">
        <w:t>effect of process stages on end product</w:t>
      </w:r>
    </w:p>
    <w:p w:rsidR="00000000" w:rsidRPr="00F46F75" w:rsidP="00F46F75">
      <w:pPr>
        <w:pStyle w:val="ListBullet"/>
      </w:pPr>
      <w:r w:rsidRPr="00F46F75">
        <w:t>quality characteristics and uses of decanter product</w:t>
      </w:r>
    </w:p>
    <w:p w:rsidR="00000000" w:rsidRPr="00F46F75" w:rsidP="00F46F75">
      <w:pPr>
        <w:pStyle w:val="ListBullet"/>
      </w:pPr>
      <w:r w:rsidRPr="00F46F75">
        <w:t>product preparation requirements and effect of variation on the process</w:t>
      </w:r>
    </w:p>
    <w:p w:rsidR="00000000" w:rsidRPr="00F46F75" w:rsidP="00F46F75">
      <w:pPr>
        <w:pStyle w:val="ListBullet"/>
      </w:pPr>
      <w:r w:rsidRPr="00F46F75">
        <w:t>main methods used in decanter process:</w:t>
      </w:r>
    </w:p>
    <w:p w:rsidR="00000000" w:rsidRPr="00F46F75" w:rsidP="00F46F75">
      <w:pPr>
        <w:pStyle w:val="ListBullet2"/>
      </w:pPr>
      <w:r w:rsidRPr="00F46F75">
        <w:t>continuous proces</w:t>
      </w:r>
      <w:r w:rsidRPr="00F46F75">
        <w:t>sing</w:t>
      </w:r>
    </w:p>
    <w:p w:rsidR="00000000" w:rsidRPr="00F46F75" w:rsidP="00F46F75">
      <w:pPr>
        <w:pStyle w:val="ListBullet2"/>
      </w:pPr>
      <w:r w:rsidRPr="00F46F75">
        <w:t>destemmer/crusher</w:t>
      </w:r>
    </w:p>
    <w:p w:rsidR="00000000" w:rsidRPr="00F46F75" w:rsidP="00F46F75">
      <w:pPr>
        <w:pStyle w:val="ListBullet2"/>
      </w:pPr>
      <w:r w:rsidRPr="00F46F75">
        <w:t>decanter bowl</w:t>
      </w:r>
    </w:p>
    <w:p w:rsidR="00000000" w:rsidRPr="00F46F75" w:rsidP="00F46F75">
      <w:pPr>
        <w:pStyle w:val="ListBullet2"/>
      </w:pPr>
      <w:r w:rsidRPr="00F46F75">
        <w:t>decanter pomace</w:t>
      </w:r>
    </w:p>
    <w:p w:rsidR="00000000" w:rsidRPr="00F46F75" w:rsidP="00F46F75">
      <w:pPr>
        <w:pStyle w:val="ListBullet2"/>
      </w:pPr>
      <w:r w:rsidRPr="00F46F75">
        <w:t>multiple applications</w:t>
      </w:r>
    </w:p>
    <w:p w:rsidR="00000000" w:rsidRPr="00F46F75" w:rsidP="00F46F75">
      <w:pPr>
        <w:pStyle w:val="ListBullet"/>
      </w:pPr>
      <w:r w:rsidRPr="00F46F75">
        <w:t>decanter equipment and instrumentation components, purpose and operation</w:t>
      </w:r>
    </w:p>
    <w:p w:rsidR="00000000" w:rsidRPr="00F46F75" w:rsidP="00F46F75">
      <w:pPr>
        <w:pStyle w:val="ListBullet"/>
      </w:pPr>
      <w:r w:rsidRPr="00F46F75">
        <w:t>significance and method of monitoring the process</w:t>
      </w:r>
    </w:p>
    <w:p w:rsidR="00000000" w:rsidRPr="00F46F75" w:rsidP="00F46F75">
      <w:pPr>
        <w:pStyle w:val="ListBullet"/>
      </w:pPr>
      <w:r w:rsidRPr="00F46F75">
        <w:t>common causes of variation and corrective action required</w:t>
      </w:r>
    </w:p>
    <w:p w:rsidR="00000000" w:rsidRPr="00F46F75" w:rsidP="00F46F75">
      <w:pPr>
        <w:pStyle w:val="ListBullet"/>
      </w:pPr>
      <w:r w:rsidRPr="00F46F75">
        <w:t>routine shutdown and cleaning preparation requirements</w:t>
      </w:r>
    </w:p>
    <w:p w:rsidR="00000000" w:rsidRPr="00F46F75" w:rsidP="00F46F75">
      <w:pPr>
        <w:pStyle w:val="ListBullet"/>
      </w:pPr>
      <w:r w:rsidRPr="00F46F75">
        <w:t>health and safety hazards and controls</w:t>
      </w:r>
    </w:p>
    <w:p w:rsidR="00000000" w:rsidRPr="00F46F75" w:rsidP="00F46F75">
      <w:pPr>
        <w:pStyle w:val="ListBullet"/>
      </w:pPr>
      <w:r w:rsidRPr="00F46F75">
        <w:t>procedures and responsibility for:</w:t>
      </w:r>
    </w:p>
    <w:p w:rsidR="00000000" w:rsidRPr="00F46F75" w:rsidP="00F46F75">
      <w:pPr>
        <w:pStyle w:val="ListBullet2"/>
      </w:pPr>
      <w:r w:rsidRPr="00F46F75">
        <w:t>reporting problems</w:t>
      </w:r>
    </w:p>
    <w:p w:rsidR="00000000" w:rsidRPr="00F46F75" w:rsidP="00F46F75">
      <w:pPr>
        <w:pStyle w:val="ListBullet2"/>
      </w:pPr>
      <w:r w:rsidRPr="00F46F75">
        <w:t>environmental issues and controls</w:t>
      </w:r>
    </w:p>
    <w:p w:rsidR="00000000" w:rsidRPr="00F46F75" w:rsidP="00F46F75">
      <w:pPr>
        <w:pStyle w:val="ListBullet2"/>
      </w:pPr>
      <w:r w:rsidRPr="00F46F75">
        <w:t xml:space="preserve">waste handling requirements </w:t>
      </w:r>
    </w:p>
    <w:p w:rsidR="00000000" w:rsidRPr="00F46F75" w:rsidP="00F46F75">
      <w:pPr>
        <w:pStyle w:val="ListBullet2"/>
      </w:pPr>
      <w:r w:rsidRPr="00F46F75">
        <w:t>recording requirements.</w:t>
      </w:r>
    </w:p>
    <w:p w:rsidR="00000000" w:rsidRPr="00F46F75" w:rsidP="00F46F75">
      <w:pPr>
        <w:pStyle w:val="AllowPageBreak"/>
      </w:pPr>
    </w:p>
    <w:p w:rsidR="00000000" w:rsidRPr="00F46F75" w:rsidP="00F46F75">
      <w:pPr>
        <w:pStyle w:val="Heading1"/>
      </w:pPr>
      <w:bookmarkStart w:id="4" w:name="O_995478"/>
      <w:bookmarkEnd w:id="4"/>
      <w:r w:rsidRPr="00F46F75">
        <w:t>Assessment Conditions</w:t>
      </w:r>
    </w:p>
    <w:p w:rsidR="00000000" w:rsidRPr="00F46F75" w:rsidP="0041773E">
      <w:pPr>
        <w:pStyle w:val="BodyText"/>
      </w:pPr>
      <w:r w:rsidRPr="00F46F75">
        <w:t xml:space="preserve">Assessment of skills must take place under the following conditions: </w:t>
      </w:r>
    </w:p>
    <w:p w:rsidR="00000000" w:rsidRPr="00F46F75" w:rsidP="00F46F75">
      <w:pPr>
        <w:pStyle w:val="ListBullet"/>
      </w:pPr>
      <w:r w:rsidRPr="00F46F75">
        <w:t>physical conditions:</w:t>
      </w:r>
    </w:p>
    <w:p w:rsidR="00000000" w:rsidRPr="00F46F75" w:rsidP="00F46F75">
      <w:pPr>
        <w:pStyle w:val="ListBullet2"/>
      </w:pPr>
      <w:r w:rsidRPr="00F46F75">
        <w:t>a wine operations workplace or an environment that accurately represents workplace conditions</w:t>
      </w:r>
    </w:p>
    <w:p w:rsidR="00000000" w:rsidRPr="00F46F75" w:rsidP="00F46F75">
      <w:pPr>
        <w:pStyle w:val="ListBullet"/>
      </w:pPr>
      <w:r w:rsidRPr="00F46F75">
        <w:t>resources, equipment and materials:</w:t>
      </w:r>
    </w:p>
    <w:p w:rsidR="00000000" w:rsidRPr="00F46F75" w:rsidP="00F46F75">
      <w:pPr>
        <w:pStyle w:val="ListBullet2"/>
      </w:pPr>
      <w:r w:rsidRPr="00F46F75">
        <w:t>PPE for d</w:t>
      </w:r>
      <w:r w:rsidRPr="00F46F75">
        <w:t>ecanter processing</w:t>
      </w:r>
    </w:p>
    <w:p w:rsidR="00000000" w:rsidRPr="00F46F75" w:rsidP="00F46F75">
      <w:pPr>
        <w:pStyle w:val="ListBullet2"/>
      </w:pPr>
      <w:r w:rsidRPr="00F46F75">
        <w:t>decanter equipment and materials required for process</w:t>
      </w:r>
    </w:p>
    <w:p w:rsidR="00000000" w:rsidRPr="00F46F75" w:rsidP="00F46F75">
      <w:pPr>
        <w:pStyle w:val="ListBullet2"/>
      </w:pPr>
      <w:r w:rsidRPr="00F46F75">
        <w:t>system for recording and reporting information</w:t>
      </w:r>
    </w:p>
    <w:p w:rsidR="00000000" w:rsidRPr="00F46F75" w:rsidP="00F46F75">
      <w:pPr>
        <w:pStyle w:val="ListBullet"/>
      </w:pPr>
      <w:r w:rsidRPr="00F46F75">
        <w:t>specifications:</w:t>
      </w:r>
    </w:p>
    <w:p w:rsidR="00000000" w:rsidRPr="00F46F75" w:rsidP="00F46F75">
      <w:pPr>
        <w:pStyle w:val="ListBullet2"/>
      </w:pPr>
      <w:r w:rsidRPr="00F46F75">
        <w:t>workplace procedures for decanter process.</w:t>
      </w:r>
    </w:p>
    <w:p w:rsidR="00000000" w:rsidRPr="00F46F75" w:rsidP="0041773E">
      <w:pPr>
        <w:pStyle w:val="BodyText"/>
      </w:pPr>
      <w:r w:rsidRPr="00F46F75">
        <w:t>Assessors of this unit must satisfy the requirements for assessors in appli</w:t>
      </w:r>
      <w:r w:rsidRPr="00F46F75">
        <w:t>cable vocational education and training legislation, frameworks and/or standards.</w:t>
      </w:r>
    </w:p>
    <w:p w:rsidR="00000000" w:rsidRPr="00F46F75" w:rsidP="00F46F75">
      <w:pPr>
        <w:pStyle w:val="Heading1"/>
      </w:pPr>
      <w:bookmarkStart w:id="5" w:name="O_995481"/>
      <w:bookmarkEnd w:id="5"/>
      <w:r w:rsidRPr="00F46F75">
        <w:t>Links</w:t>
      </w:r>
    </w:p>
    <w:p w:rsidR="00000000" w:rsidRPr="00F46F75" w:rsidP="0041773E">
      <w:pPr>
        <w:pStyle w:val="BodyText"/>
      </w:pPr>
      <w:r w:rsidRPr="00F46F7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02F8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46F75" w:rsidP="00F46F75"/>
    <w:sectPr w:rsidSect="00F46F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F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F75" w:rsidRPr="0041773E" w:rsidP="004177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F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3E" w:rsidP="00F46F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773E" w:rsidP="00F46F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1773E" w:rsidP="00F46F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F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F75" w:rsidRPr="0041773E" w:rsidP="004177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F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3E" w:rsidRPr="002D2AF8" w:rsidP="00F46F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FBPCEL3010 Operate the decanter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41773E" w:rsidP="00F46F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CECA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32D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EEEB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F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6F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6F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6F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6F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6F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6F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6F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6F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6F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6F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6F75"/>
  </w:style>
  <w:style w:type="character" w:customStyle="1" w:styleId="Heading1Char">
    <w:name w:val="Heading 1 Char"/>
    <w:basedOn w:val="DefaultParagraphFont"/>
    <w:link w:val="Heading1"/>
    <w:rsid w:val="00F46F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6F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6F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6F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6F75"/>
    <w:rPr>
      <w:b/>
      <w:spacing w:val="0"/>
    </w:rPr>
  </w:style>
  <w:style w:type="paragraph" w:styleId="ListBullet2">
    <w:name w:val="List Bullet 2"/>
    <w:basedOn w:val="List2"/>
    <w:rsid w:val="00F46F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6F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6F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6F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6F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6F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6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6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6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6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6F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6F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6F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6F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6F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6F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6F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6F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6F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6F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6F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6F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6F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6F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6F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6F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6F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6F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6F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6F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6F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6F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6F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6F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6F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6F75"/>
    <w:rPr>
      <w:i/>
    </w:rPr>
  </w:style>
  <w:style w:type="paragraph" w:styleId="Caption">
    <w:name w:val="caption"/>
    <w:basedOn w:val="BodyText"/>
    <w:next w:val="Normal"/>
    <w:qFormat/>
    <w:rsid w:val="00F46F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6F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6F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6F75"/>
  </w:style>
  <w:style w:type="paragraph" w:styleId="TableofFigures">
    <w:name w:val="table of figures"/>
    <w:basedOn w:val="Normal"/>
    <w:next w:val="Normal"/>
    <w:semiHidden/>
    <w:rsid w:val="00F46F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6F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6F75"/>
    <w:rPr>
      <w:rFonts w:ascii="Wingdings" w:hAnsi="Wingdings"/>
    </w:rPr>
  </w:style>
  <w:style w:type="paragraph" w:customStyle="1" w:styleId="TableHeading">
    <w:name w:val="Table Heading"/>
    <w:basedOn w:val="HeadingBase"/>
    <w:rsid w:val="00F46F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6F75"/>
    <w:rPr>
      <w:color w:val="0033CC"/>
      <w:u w:val="none"/>
    </w:rPr>
  </w:style>
  <w:style w:type="paragraph" w:customStyle="1" w:styleId="BodyTextRight">
    <w:name w:val="Body Text Right"/>
    <w:basedOn w:val="BodyText"/>
    <w:rsid w:val="00F46F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6F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6F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6F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6F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6F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6F75"/>
    <w:rPr>
      <w:sz w:val="32"/>
    </w:rPr>
  </w:style>
  <w:style w:type="paragraph" w:customStyle="1" w:styleId="HeadingProcedure">
    <w:name w:val="Heading Procedure"/>
    <w:basedOn w:val="HeadingBase"/>
    <w:next w:val="Normal"/>
    <w:rsid w:val="00F46F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6F75"/>
    <w:pPr>
      <w:spacing w:before="60" w:after="60"/>
    </w:pPr>
  </w:style>
  <w:style w:type="paragraph" w:styleId="ListContinue">
    <w:name w:val="List Continue"/>
    <w:basedOn w:val="List"/>
    <w:rsid w:val="00F46F75"/>
    <w:pPr>
      <w:ind w:firstLine="0"/>
    </w:pPr>
  </w:style>
  <w:style w:type="paragraph" w:customStyle="1" w:styleId="ListNote">
    <w:name w:val="List Note"/>
    <w:basedOn w:val="List"/>
    <w:rsid w:val="00F46F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6F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6F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6F75"/>
    <w:rPr>
      <w:rFonts w:ascii="Courier New" w:hAnsi="Courier New"/>
    </w:rPr>
  </w:style>
  <w:style w:type="paragraph" w:customStyle="1" w:styleId="NoteBullet">
    <w:name w:val="Note Bullet"/>
    <w:basedOn w:val="Note"/>
    <w:rsid w:val="00F46F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6F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6F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6F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6F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6F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6F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6F75"/>
    <w:rPr>
      <w:b/>
      <w:smallCaps/>
    </w:rPr>
  </w:style>
  <w:style w:type="paragraph" w:customStyle="1" w:styleId="TableListNumber">
    <w:name w:val="Table List Number"/>
    <w:basedOn w:val="ListNumber"/>
    <w:rsid w:val="00F46F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6F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6F75"/>
    <w:pPr>
      <w:numPr>
        <w:numId w:val="9"/>
      </w:numPr>
    </w:pPr>
  </w:style>
  <w:style w:type="paragraph" w:customStyle="1" w:styleId="ListAlpha2">
    <w:name w:val="List Alpha 2"/>
    <w:basedOn w:val="List2"/>
    <w:rsid w:val="00F46F75"/>
    <w:pPr>
      <w:numPr>
        <w:numId w:val="8"/>
      </w:numPr>
    </w:pPr>
  </w:style>
  <w:style w:type="paragraph" w:styleId="List2">
    <w:name w:val="List 2"/>
    <w:basedOn w:val="BodyText"/>
    <w:rsid w:val="00F46F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6F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6F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6F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6F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6F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6F75"/>
    <w:pPr>
      <w:numPr>
        <w:numId w:val="4"/>
      </w:numPr>
    </w:pPr>
  </w:style>
  <w:style w:type="paragraph" w:styleId="ListContinue2">
    <w:name w:val="List Continue 2"/>
    <w:basedOn w:val="List2"/>
    <w:rsid w:val="00F46F75"/>
    <w:pPr>
      <w:ind w:firstLine="0"/>
    </w:pPr>
  </w:style>
  <w:style w:type="paragraph" w:styleId="ListContinue3">
    <w:name w:val="List Continue 3"/>
    <w:basedOn w:val="List3"/>
    <w:rsid w:val="00F46F75"/>
    <w:pPr>
      <w:ind w:left="1021" w:firstLine="0"/>
    </w:pPr>
  </w:style>
  <w:style w:type="paragraph" w:styleId="ListContinue4">
    <w:name w:val="List Continue 4"/>
    <w:basedOn w:val="List4"/>
    <w:rsid w:val="00F46F75"/>
    <w:pPr>
      <w:ind w:firstLine="0"/>
    </w:pPr>
  </w:style>
  <w:style w:type="paragraph" w:styleId="ListContinue5">
    <w:name w:val="List Continue 5"/>
    <w:basedOn w:val="List5"/>
    <w:rsid w:val="00F46F75"/>
    <w:pPr>
      <w:ind w:firstLine="0"/>
    </w:pPr>
  </w:style>
  <w:style w:type="paragraph" w:styleId="ListNumber3">
    <w:name w:val="List Number 3"/>
    <w:basedOn w:val="List3"/>
    <w:rsid w:val="00F46F75"/>
    <w:pPr>
      <w:numPr>
        <w:numId w:val="5"/>
      </w:numPr>
    </w:pPr>
  </w:style>
  <w:style w:type="paragraph" w:styleId="ListNumber4">
    <w:name w:val="List Number 4"/>
    <w:basedOn w:val="List4"/>
    <w:rsid w:val="00F46F75"/>
    <w:pPr>
      <w:numPr>
        <w:numId w:val="6"/>
      </w:numPr>
    </w:pPr>
  </w:style>
  <w:style w:type="paragraph" w:styleId="ListNumber5">
    <w:name w:val="List Number 5"/>
    <w:basedOn w:val="List5"/>
    <w:rsid w:val="00F46F75"/>
    <w:pPr>
      <w:numPr>
        <w:numId w:val="7"/>
      </w:numPr>
    </w:pPr>
  </w:style>
  <w:style w:type="paragraph" w:styleId="BlockText">
    <w:name w:val="Block Text"/>
    <w:basedOn w:val="Normal"/>
    <w:rsid w:val="00F46F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6F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6F75"/>
    <w:rPr>
      <w:sz w:val="16"/>
      <w:vertAlign w:val="superscript"/>
    </w:rPr>
  </w:style>
  <w:style w:type="character" w:customStyle="1" w:styleId="Symbols">
    <w:name w:val="Symbols"/>
    <w:basedOn w:val="DefaultParagraphFont"/>
    <w:rsid w:val="00F46F75"/>
    <w:rPr>
      <w:rFonts w:ascii="Symbol" w:hAnsi="Symbol"/>
    </w:rPr>
  </w:style>
  <w:style w:type="character" w:customStyle="1" w:styleId="MenuOptions">
    <w:name w:val="Menu Options"/>
    <w:basedOn w:val="DefaultParagraphFont"/>
    <w:rsid w:val="00F46F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6F75"/>
    <w:rPr>
      <w:b/>
    </w:rPr>
  </w:style>
  <w:style w:type="character" w:customStyle="1" w:styleId="Underlined">
    <w:name w:val="Underlined"/>
    <w:basedOn w:val="DefaultParagraphFont"/>
    <w:rsid w:val="00F46F75"/>
    <w:rPr>
      <w:u w:val="single"/>
    </w:rPr>
  </w:style>
  <w:style w:type="paragraph" w:customStyle="1" w:styleId="TableBodyTextRight">
    <w:name w:val="Table Body Text Right"/>
    <w:basedOn w:val="TableBodyText"/>
    <w:rsid w:val="00F46F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6F75"/>
    <w:rPr>
      <w:sz w:val="18"/>
    </w:rPr>
  </w:style>
  <w:style w:type="paragraph" w:customStyle="1" w:styleId="BodySmallRight">
    <w:name w:val="Body Small Right"/>
    <w:basedOn w:val="BodyTextRight"/>
    <w:rsid w:val="00F46F75"/>
    <w:rPr>
      <w:sz w:val="18"/>
      <w:szCs w:val="18"/>
    </w:rPr>
  </w:style>
  <w:style w:type="paragraph" w:customStyle="1" w:styleId="MarginEdition">
    <w:name w:val="Margin Edition"/>
    <w:basedOn w:val="MarginNote"/>
    <w:rsid w:val="00F46F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6F75"/>
    <w:rPr>
      <w:sz w:val="2"/>
      <w:szCs w:val="2"/>
    </w:rPr>
  </w:style>
  <w:style w:type="character" w:customStyle="1" w:styleId="Small">
    <w:name w:val="Small"/>
    <w:basedOn w:val="DefaultParagraphFont"/>
    <w:rsid w:val="00F46F75"/>
    <w:rPr>
      <w:sz w:val="16"/>
    </w:rPr>
  </w:style>
  <w:style w:type="paragraph" w:customStyle="1" w:styleId="WideTable">
    <w:name w:val="Wide Table"/>
    <w:basedOn w:val="Normal"/>
    <w:rsid w:val="00F46F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6F75"/>
  </w:style>
  <w:style w:type="paragraph" w:styleId="Quote">
    <w:name w:val="Quote"/>
    <w:basedOn w:val="Heading1"/>
    <w:link w:val="QuoteChar"/>
    <w:qFormat/>
    <w:rsid w:val="00F46F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6F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6F75"/>
    <w:pPr>
      <w:pageBreakBefore/>
    </w:pPr>
  </w:style>
  <w:style w:type="paragraph" w:customStyle="1" w:styleId="Border">
    <w:name w:val="Border"/>
    <w:basedOn w:val="Normal"/>
    <w:qFormat/>
    <w:rsid w:val="00F46F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6F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F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F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6F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6F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6F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6F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6F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6F75"/>
    <w:rPr>
      <w:u w:val="single"/>
    </w:rPr>
  </w:style>
  <w:style w:type="character" w:customStyle="1" w:styleId="BoldandItalics">
    <w:name w:val="Bold and Italics"/>
    <w:qFormat/>
    <w:rsid w:val="00F46F75"/>
    <w:rPr>
      <w:b/>
      <w:i/>
      <w:u w:val="none"/>
    </w:rPr>
  </w:style>
  <w:style w:type="paragraph" w:styleId="BalloonText">
    <w:name w:val="Balloon Text"/>
    <w:basedOn w:val="Normal"/>
    <w:link w:val="BalloonTextChar"/>
    <w:rsid w:val="00F46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F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6F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6F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6F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6F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6F75"/>
    <w:pPr>
      <w:spacing w:before="0" w:after="0"/>
    </w:pPr>
  </w:style>
  <w:style w:type="paragraph" w:customStyle="1" w:styleId="BodyTextBold">
    <w:name w:val="Body Text Bold"/>
    <w:basedOn w:val="BodyText"/>
    <w:qFormat/>
    <w:rsid w:val="00F46F75"/>
    <w:rPr>
      <w:b/>
    </w:rPr>
  </w:style>
  <w:style w:type="character" w:styleId="Hyperlink">
    <w:name w:val="Hyperlink"/>
    <w:basedOn w:val="DefaultParagraphFont"/>
    <w:uiPriority w:val="99"/>
    <w:unhideWhenUsed/>
    <w:rsid w:val="004177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2800</Characters>
  <Application>Microsoft Office Word</Application>
  <DocSecurity>0</DocSecurity>
  <Lines>77</Lines>
  <Paragraphs>68</Paragraphs>
  <ScaleCrop>false</ScaleCrop>
  <Company>Author-it Software Corporation Ltd.</Company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FBPCEL3010 Operate the decanter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2023-01-25T15:02:00Z</dcterms:created>
  <dcterms:modified xsi:type="dcterms:W3CDTF">2023-01-25T15:02:00Z</dcterms:modified>
</cp:coreProperties>
</file>