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DD3" w:rsidP="00E96D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FBPCEL2009 Carry out transfer operations</w:t>
      </w:r>
      <w:r>
        <w:fldChar w:fldCharType="end"/>
      </w:r>
    </w:p>
    <w:p w:rsidR="00E96DD3" w:rsidP="00E96DD3">
      <w:pPr>
        <w:pStyle w:val="Version"/>
        <w:sectPr w:rsidSect="00F171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1719B" w:rsidP="00F1719B">
      <w:pPr>
        <w:pStyle w:val="SuperHeading"/>
      </w:pPr>
      <w:r w:rsidRPr="00F1719B">
        <w:t>FBPCEL2009 Carry out transfer operations</w:t>
      </w:r>
    </w:p>
    <w:p w:rsidR="00000000" w:rsidRPr="00F1719B" w:rsidP="00F1719B">
      <w:pPr>
        <w:pStyle w:val="Heading1"/>
      </w:pPr>
      <w:bookmarkStart w:id="1" w:name="O_1059028"/>
      <w:bookmarkEnd w:id="1"/>
      <w:r w:rsidRPr="00F171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171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Bold"/>
              <w:rPr>
                <w:lang w:val="en-NZ"/>
              </w:rPr>
            </w:pPr>
            <w:r w:rsidRPr="00F1719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Bold"/>
              <w:rPr>
                <w:lang w:val="en-NZ"/>
              </w:rPr>
            </w:pPr>
            <w:r w:rsidRPr="00F1719B">
              <w:t>Comments</w:t>
            </w:r>
          </w:p>
        </w:tc>
      </w:tr>
      <w:tr w:rsidTr="00F171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"/>
              <w:rPr>
                <w:lang w:val="en-NZ"/>
              </w:rPr>
            </w:pPr>
            <w:r w:rsidRPr="00F1719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"/>
              <w:rPr>
                <w:lang w:val="en-NZ"/>
              </w:rPr>
            </w:pPr>
            <w:r w:rsidRPr="00F1719B">
              <w:t>This version released with FBP Food, Beverage and Pharmaceutical Training Package Version 3.0.</w:t>
            </w:r>
          </w:p>
        </w:tc>
      </w:tr>
      <w:tr w:rsidTr="00F171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"/>
              <w:rPr>
                <w:lang w:val="en-NZ"/>
              </w:rPr>
            </w:pPr>
            <w:r w:rsidRPr="00F171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9B" w:rsidP="00F1719B">
            <w:pPr>
              <w:pStyle w:val="BodyText"/>
            </w:pPr>
            <w:r w:rsidRPr="00F1719B">
              <w:t>This version released with FBP Food, Beverage and Pharmaceutical Training Package Version 2.0.</w:t>
            </w:r>
          </w:p>
        </w:tc>
      </w:tr>
    </w:tbl>
    <w:p w:rsidR="00000000" w:rsidRPr="00F1719B" w:rsidP="00F1719B">
      <w:pPr>
        <w:pStyle w:val="BodyText"/>
      </w:pPr>
    </w:p>
    <w:p w:rsidR="00000000" w:rsidRPr="00F1719B" w:rsidP="00F1719B">
      <w:pPr>
        <w:pStyle w:val="AllowPageBreak"/>
      </w:pPr>
    </w:p>
    <w:p w:rsidR="00000000" w:rsidRPr="00F1719B" w:rsidP="00F1719B">
      <w:pPr>
        <w:pStyle w:val="Heading1"/>
      </w:pPr>
      <w:bookmarkStart w:id="2" w:name="O_1059027"/>
      <w:bookmarkEnd w:id="2"/>
      <w:r w:rsidRPr="00F1719B">
        <w:t>Application</w:t>
      </w:r>
    </w:p>
    <w:p w:rsidR="00000000" w:rsidRPr="00F1719B" w:rsidP="00E96DD3">
      <w:pPr>
        <w:pStyle w:val="BodyText"/>
      </w:pPr>
      <w:r w:rsidRPr="00F1719B">
        <w:t>This unit of competency describes the skills and knowledge required to transfer various types of input and finished products.</w:t>
      </w:r>
    </w:p>
    <w:p w:rsidR="00000000" w:rsidRPr="00F1719B" w:rsidP="00E96DD3">
      <w:pPr>
        <w:pStyle w:val="BodyText"/>
      </w:pPr>
      <w:r w:rsidRPr="00F1719B">
        <w:t>The unit applies to individuals who work in cellar, bottling or distillation and take responsibility fo</w:t>
      </w:r>
      <w:r w:rsidRPr="00F1719B">
        <w:t>r their own work. Individuals generally work under supervision but have some autonomy and accountability for their own work.</w:t>
      </w:r>
    </w:p>
    <w:p w:rsidR="00000000" w:rsidRPr="00F1719B" w:rsidP="00E96DD3">
      <w:pPr>
        <w:pStyle w:val="BodyText"/>
      </w:pPr>
      <w:r w:rsidRPr="00F1719B">
        <w:t>All work must be carried out to comply with workplace procedures, according to state/territory health and safety, and food safety r</w:t>
      </w:r>
      <w:r w:rsidRPr="00F1719B">
        <w:t>egulations, legislation and standards that apply to the workplace.</w:t>
      </w:r>
    </w:p>
    <w:p w:rsidR="00000000" w:rsidRPr="00F1719B" w:rsidP="00E96DD3">
      <w:pPr>
        <w:pStyle w:val="BodyText"/>
      </w:pPr>
      <w:r w:rsidRPr="00F1719B">
        <w:t xml:space="preserve">No licensing, legislative or certification requirements apply to this unit at the time of publication. </w:t>
      </w:r>
    </w:p>
    <w:p w:rsidR="00000000" w:rsidRPr="00F1719B" w:rsidP="00F1719B">
      <w:pPr>
        <w:pStyle w:val="Heading1"/>
      </w:pPr>
      <w:bookmarkStart w:id="3" w:name="O_1059026"/>
      <w:bookmarkEnd w:id="3"/>
      <w:r w:rsidRPr="00F1719B">
        <w:t>Pre-requisite Unit</w:t>
      </w:r>
    </w:p>
    <w:p w:rsidR="00000000" w:rsidRPr="00F1719B" w:rsidP="00E96DD3">
      <w:pPr>
        <w:pStyle w:val="BodyText"/>
      </w:pPr>
      <w:r w:rsidRPr="00F1719B">
        <w:t>Nil</w:t>
      </w:r>
    </w:p>
    <w:p w:rsidR="00000000" w:rsidRPr="00F1719B" w:rsidP="00F1719B">
      <w:pPr>
        <w:pStyle w:val="Heading1"/>
      </w:pPr>
      <w:bookmarkStart w:id="4" w:name="O_1059025"/>
      <w:bookmarkEnd w:id="4"/>
      <w:r w:rsidRPr="00F1719B">
        <w:t>Unit Sector</w:t>
      </w:r>
    </w:p>
    <w:p w:rsidR="00000000" w:rsidRPr="00F1719B" w:rsidP="00E96DD3">
      <w:pPr>
        <w:pStyle w:val="BodyText"/>
      </w:pPr>
      <w:r w:rsidRPr="00F1719B">
        <w:t>Cellar Operations (CEL)</w:t>
      </w:r>
    </w:p>
    <w:p w:rsidR="00000000" w:rsidRPr="00F1719B" w:rsidP="00F1719B">
      <w:pPr>
        <w:pStyle w:val="Heading1"/>
      </w:pPr>
      <w:bookmarkStart w:id="5" w:name="O_1059024"/>
      <w:bookmarkEnd w:id="5"/>
      <w:r w:rsidRPr="00F1719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6D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Bold"/>
              <w:rPr>
                <w:lang w:val="en-NZ"/>
              </w:rPr>
            </w:pPr>
            <w:r w:rsidRPr="00F1719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Bold"/>
              <w:rPr>
                <w:lang w:val="en-NZ"/>
              </w:rPr>
            </w:pPr>
            <w:r w:rsidRPr="00F1719B">
              <w:t>Performance Criteria</w:t>
            </w:r>
          </w:p>
        </w:tc>
      </w:tr>
      <w:tr w:rsidTr="00E96D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9B" w:rsidP="00F1719B">
            <w:pPr>
              <w:pStyle w:val="BodyText"/>
            </w:pPr>
            <w:r w:rsidRPr="00F1719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"/>
              <w:rPr>
                <w:lang w:val="en-NZ"/>
              </w:rPr>
            </w:pPr>
            <w:r w:rsidRPr="00F171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6D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"/>
              <w:rPr>
                <w:lang w:val="en-NZ"/>
              </w:rPr>
            </w:pPr>
            <w:r w:rsidRPr="00F1719B">
              <w:t>1. Prepar</w:t>
            </w:r>
            <w:r w:rsidRPr="00F1719B">
              <w:t xml:space="preserve">e the transfer </w:t>
            </w:r>
            <w:r w:rsidRPr="00F1719B">
              <w:t>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9B" w:rsidP="00F1719B">
            <w:pPr>
              <w:pStyle w:val="BodyText"/>
            </w:pPr>
            <w:r w:rsidRPr="00F1719B">
              <w:t xml:space="preserve">1.1 Identify and confirm transfer requirements </w:t>
            </w:r>
          </w:p>
          <w:p w:rsidR="00000000" w:rsidRPr="00F1719B" w:rsidP="00F1719B">
            <w:pPr>
              <w:pStyle w:val="BodyText"/>
            </w:pPr>
            <w:r w:rsidRPr="00F1719B">
              <w:t xml:space="preserve">1.2 Confirm availability of product, materials and services to meet transfer requirements </w:t>
            </w:r>
          </w:p>
          <w:p w:rsidR="00000000" w:rsidRPr="00F1719B" w:rsidP="00F1719B">
            <w:pPr>
              <w:pStyle w:val="BodyText"/>
            </w:pPr>
            <w:r w:rsidRPr="00F1719B">
              <w:t xml:space="preserve">1.3 Confirm environmental guidelines and identify potential health and safety in the workplace hazards and controls according to workplace procedures </w:t>
            </w:r>
          </w:p>
          <w:p w:rsidR="00000000" w:rsidRPr="00F1719B" w:rsidP="00F1719B">
            <w:pPr>
              <w:pStyle w:val="BodyText"/>
            </w:pPr>
            <w:r w:rsidRPr="00F1719B">
              <w:t>1.4 Select, fit and use personal protective equipment required for the transfer process</w:t>
            </w:r>
          </w:p>
          <w:p w:rsidR="00000000" w:rsidRPr="00F1719B" w:rsidP="00F1719B">
            <w:pPr>
              <w:pStyle w:val="BodyText"/>
            </w:pPr>
            <w:r w:rsidRPr="00F1719B">
              <w:t>1.5 Prepare produ</w:t>
            </w:r>
            <w:r w:rsidRPr="00F1719B">
              <w:t>ct and materials to meet transfer requirements</w:t>
            </w:r>
          </w:p>
          <w:p w:rsidR="00000000" w:rsidRPr="00F1719B" w:rsidP="00F1719B">
            <w:pPr>
              <w:pStyle w:val="BodyText"/>
            </w:pPr>
            <w:r w:rsidRPr="00F1719B">
              <w:t>1.6 Check equipment to confirm readiness for use according to workplace procedures</w:t>
            </w:r>
          </w:p>
          <w:p w:rsidR="00000000" w:rsidP="00F1719B">
            <w:pPr>
              <w:pStyle w:val="BodyText"/>
              <w:rPr>
                <w:lang w:val="en-NZ"/>
              </w:rPr>
            </w:pPr>
            <w:r w:rsidRPr="00F1719B">
              <w:t xml:space="preserve">1.7 Set the process to meet transfer requirements </w:t>
            </w:r>
          </w:p>
        </w:tc>
      </w:tr>
      <w:tr w:rsidTr="00E96D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"/>
              <w:rPr>
                <w:lang w:val="en-NZ"/>
              </w:rPr>
            </w:pPr>
            <w:r w:rsidRPr="00F1719B">
              <w:t>2. Operate and monitor the transfer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9B" w:rsidP="00F1719B">
            <w:pPr>
              <w:pStyle w:val="BodyText"/>
            </w:pPr>
            <w:r w:rsidRPr="00F1719B">
              <w:t>2.1 Start up the transfer proc</w:t>
            </w:r>
            <w:r w:rsidRPr="00F1719B">
              <w:t>ess according to workplace procedures</w:t>
            </w:r>
          </w:p>
          <w:p w:rsidR="00000000" w:rsidRPr="00F1719B" w:rsidP="00F1719B">
            <w:pPr>
              <w:pStyle w:val="BodyText"/>
            </w:pPr>
            <w:r w:rsidRPr="00F1719B">
              <w:t>2.2 Monitor process to confirm transfer operation meets specifications</w:t>
            </w:r>
          </w:p>
          <w:p w:rsidR="00000000" w:rsidP="00F1719B">
            <w:pPr>
              <w:pStyle w:val="BodyText"/>
              <w:rPr>
                <w:lang w:val="en-NZ"/>
              </w:rPr>
            </w:pPr>
            <w:r w:rsidRPr="00F1719B">
              <w:t>2.3 Identify and address non-conformance in product, process and equipment according to workplace procedures</w:t>
            </w:r>
          </w:p>
        </w:tc>
      </w:tr>
      <w:tr w:rsidTr="00E96D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"/>
              <w:rPr>
                <w:lang w:val="en-NZ"/>
              </w:rPr>
            </w:pPr>
            <w:r w:rsidRPr="00F1719B">
              <w:t>3. Shut down the transfer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9B" w:rsidP="00F1719B">
            <w:pPr>
              <w:pStyle w:val="BodyText"/>
            </w:pPr>
            <w:r w:rsidRPr="00F1719B">
              <w:t>3.1</w:t>
            </w:r>
            <w:r w:rsidRPr="00F1719B">
              <w:t xml:space="preserve"> Identify and implement appropriate shutdown procedures</w:t>
            </w:r>
          </w:p>
          <w:p w:rsidR="00000000" w:rsidRPr="00F1719B" w:rsidP="00F1719B">
            <w:pPr>
              <w:pStyle w:val="BodyText"/>
            </w:pPr>
            <w:r w:rsidRPr="00F1719B">
              <w:t>3.2 Dismantle equipment safely and prepare for cleaning</w:t>
            </w:r>
          </w:p>
          <w:p w:rsidR="00000000" w:rsidRPr="00F1719B" w:rsidP="00F1719B">
            <w:pPr>
              <w:pStyle w:val="BodyText"/>
            </w:pPr>
            <w:r w:rsidRPr="00F1719B">
              <w:t>3.3 Collect, treat and dispose of or recycle waste generated by both the transfer process and cleaning procedures</w:t>
            </w:r>
          </w:p>
          <w:p w:rsidR="00000000" w:rsidRPr="00F1719B" w:rsidP="00F1719B">
            <w:pPr>
              <w:pStyle w:val="BodyText"/>
            </w:pPr>
            <w:r w:rsidRPr="00F1719B">
              <w:t>3.4 Record workplace informati</w:t>
            </w:r>
            <w:r w:rsidRPr="00F1719B">
              <w:t>on according to workplace procedures</w:t>
            </w:r>
          </w:p>
        </w:tc>
      </w:tr>
    </w:tbl>
    <w:p w:rsidR="00000000" w:rsidRPr="00F1719B" w:rsidP="00F1719B">
      <w:pPr>
        <w:pStyle w:val="BodyText"/>
      </w:pPr>
    </w:p>
    <w:p w:rsidR="00000000" w:rsidRPr="00F1719B" w:rsidP="00F1719B">
      <w:pPr>
        <w:pStyle w:val="AllowPageBreak"/>
      </w:pPr>
    </w:p>
    <w:p w:rsidR="00000000" w:rsidRPr="00F1719B" w:rsidP="00F1719B">
      <w:pPr>
        <w:pStyle w:val="Heading1"/>
      </w:pPr>
      <w:bookmarkStart w:id="6" w:name="O_1059023"/>
      <w:bookmarkEnd w:id="6"/>
      <w:r w:rsidRPr="00F1719B">
        <w:t>Foundation Skills</w:t>
      </w:r>
    </w:p>
    <w:p w:rsidR="00000000" w:rsidRPr="00E96DD3" w:rsidP="00E96DD3">
      <w:pPr>
        <w:pStyle w:val="BodyText"/>
        <w:rPr>
          <w:i/>
        </w:rPr>
      </w:pPr>
      <w:r w:rsidRPr="00E96DD3">
        <w:rPr>
          <w:rStyle w:val="Emphasis"/>
        </w:rPr>
        <w:t>This section describes those language, literacy, numeracy and employment skills that are essential for performance in this unit of competency but are not explicit in the performanc</w:t>
      </w:r>
      <w:r w:rsidRPr="00E96DD3">
        <w:rPr>
          <w:rStyle w:val="Emphasis"/>
        </w:rPr>
        <w:t>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71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Bold"/>
              <w:rPr>
                <w:lang w:val="en-NZ"/>
              </w:rPr>
            </w:pPr>
            <w:r w:rsidRPr="00F1719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Bold"/>
              <w:rPr>
                <w:lang w:val="en-NZ"/>
              </w:rPr>
            </w:pPr>
            <w:r w:rsidRPr="00F1719B">
              <w:t>Description</w:t>
            </w:r>
          </w:p>
        </w:tc>
      </w:tr>
      <w:tr w:rsidTr="00F171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"/>
              <w:rPr>
                <w:lang w:val="en-NZ"/>
              </w:rPr>
            </w:pPr>
            <w:r w:rsidRPr="00F1719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ListBullet"/>
              <w:rPr>
                <w:lang w:val="en-NZ"/>
              </w:rPr>
            </w:pPr>
            <w:r w:rsidRPr="00F1719B">
              <w:t>Comprehend instructions in workplace documents</w:t>
            </w:r>
          </w:p>
        </w:tc>
      </w:tr>
      <w:tr w:rsidTr="00F171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"/>
              <w:rPr>
                <w:lang w:val="en-NZ"/>
              </w:rPr>
            </w:pPr>
            <w:r w:rsidRPr="00F1719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ListBullet"/>
              <w:rPr>
                <w:lang w:val="en-NZ"/>
              </w:rPr>
            </w:pPr>
            <w:r w:rsidRPr="00F1719B">
              <w:t>Complete workplace documents in required format</w:t>
            </w:r>
          </w:p>
        </w:tc>
      </w:tr>
      <w:tr w:rsidTr="00F171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"/>
              <w:rPr>
                <w:lang w:val="en-NZ"/>
              </w:rPr>
            </w:pPr>
            <w:r w:rsidRPr="00F1719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9B" w:rsidP="00F1719B">
            <w:pPr>
              <w:pStyle w:val="ListBullet"/>
            </w:pPr>
            <w:r w:rsidRPr="00F1719B">
              <w:t>Perform calculations required to prepare materials for the process</w:t>
            </w:r>
          </w:p>
          <w:p w:rsidR="00000000" w:rsidP="00F1719B">
            <w:pPr>
              <w:pStyle w:val="ListBullet"/>
              <w:rPr>
                <w:lang w:val="en-NZ"/>
              </w:rPr>
            </w:pPr>
            <w:r w:rsidRPr="00F1719B">
              <w:t xml:space="preserve">Interpret symbols, gauges and numbers during monitoring of </w:t>
            </w:r>
            <w:r w:rsidRPr="00F1719B">
              <w:t>process</w:t>
            </w:r>
          </w:p>
        </w:tc>
      </w:tr>
      <w:tr w:rsidTr="00F171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"/>
              <w:rPr>
                <w:lang w:val="en-NZ"/>
              </w:rPr>
            </w:pPr>
            <w:r w:rsidRPr="00F1719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ListBullet"/>
              <w:rPr>
                <w:lang w:val="en-NZ"/>
              </w:rPr>
            </w:pPr>
            <w:r w:rsidRPr="00F1719B">
              <w:t>Apply workplace procedures and legislative responsibilities to own role</w:t>
            </w:r>
          </w:p>
        </w:tc>
      </w:tr>
      <w:tr w:rsidTr="00F171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"/>
              <w:rPr>
                <w:lang w:val="en-NZ"/>
              </w:rPr>
            </w:pPr>
            <w:r w:rsidRPr="00F1719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ListBullet"/>
              <w:rPr>
                <w:lang w:val="en-NZ"/>
              </w:rPr>
            </w:pPr>
            <w:r w:rsidRPr="00F1719B">
              <w:t>Use required communication mode to report operational information</w:t>
            </w:r>
            <w:r w:rsidRPr="00F1719B">
              <w:t xml:space="preserve"> to relevant personnel </w:t>
            </w:r>
          </w:p>
        </w:tc>
      </w:tr>
      <w:tr w:rsidTr="00F171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"/>
              <w:rPr>
                <w:lang w:val="en-NZ"/>
              </w:rPr>
            </w:pPr>
            <w:r w:rsidRPr="00F1719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9B" w:rsidP="00F1719B">
            <w:pPr>
              <w:pStyle w:val="ListBullet"/>
            </w:pPr>
            <w:r w:rsidRPr="00F1719B">
              <w:t xml:space="preserve">Plan, sequence and implement tasks according to set routines and procedures </w:t>
            </w:r>
          </w:p>
          <w:p w:rsidR="00000000" w:rsidRPr="00F1719B" w:rsidP="00F1719B">
            <w:pPr>
              <w:pStyle w:val="ListBullet"/>
            </w:pPr>
            <w:r w:rsidRPr="00F1719B">
              <w:t>Respond to routine problems using workplace instructions and procedures</w:t>
            </w:r>
          </w:p>
        </w:tc>
      </w:tr>
    </w:tbl>
    <w:p w:rsidR="00000000" w:rsidRPr="00F1719B" w:rsidP="00F1719B">
      <w:pPr>
        <w:pStyle w:val="BodyText"/>
      </w:pPr>
    </w:p>
    <w:p w:rsidR="00000000" w:rsidRPr="00F1719B" w:rsidP="00F1719B">
      <w:pPr>
        <w:pStyle w:val="AllowPageBreak"/>
      </w:pPr>
    </w:p>
    <w:p w:rsidR="00000000" w:rsidRPr="00F1719B" w:rsidP="00F1719B">
      <w:pPr>
        <w:pStyle w:val="Heading1"/>
      </w:pPr>
      <w:bookmarkStart w:id="7" w:name="O_1059022"/>
      <w:bookmarkEnd w:id="7"/>
      <w:r w:rsidRPr="00F1719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171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Bold"/>
              <w:rPr>
                <w:lang w:val="en-NZ"/>
              </w:rPr>
            </w:pPr>
            <w:r w:rsidRPr="00F1719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Bold"/>
              <w:rPr>
                <w:lang w:val="en-NZ"/>
              </w:rPr>
            </w:pPr>
            <w:r w:rsidRPr="00F1719B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Bold"/>
              <w:rPr>
                <w:lang w:val="en-NZ"/>
              </w:rPr>
            </w:pPr>
            <w:r w:rsidRPr="00F1719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Bold"/>
              <w:rPr>
                <w:lang w:val="en-NZ"/>
              </w:rPr>
            </w:pPr>
            <w:r w:rsidRPr="00F1719B">
              <w:t>Equivalence status</w:t>
            </w:r>
          </w:p>
        </w:tc>
      </w:tr>
      <w:tr w:rsidTr="00F171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"/>
              <w:rPr>
                <w:lang w:val="en-NZ"/>
              </w:rPr>
            </w:pPr>
            <w:r w:rsidRPr="00F1719B">
              <w:t>FBPCEL2009 Carry out transfer operations</w:t>
            </w:r>
            <w:r w:rsidRPr="00F1719B">
              <w:br/>
              <w:t>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"/>
              <w:rPr>
                <w:lang w:val="en-NZ"/>
              </w:rPr>
            </w:pPr>
            <w:r w:rsidRPr="00F1719B">
              <w:t>FBPCEL2009 Carry out transfer operations</w:t>
            </w:r>
            <w:r w:rsidRPr="00F1719B">
              <w:br/>
              <w:t>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9B">
            <w:pPr>
              <w:pStyle w:val="BodyText"/>
              <w:rPr>
                <w:lang w:val="en-NZ"/>
              </w:rPr>
            </w:pPr>
            <w:r w:rsidRPr="00F1719B">
              <w:t>Minor update in assessment conditions to refer to wine or beve</w:t>
            </w:r>
            <w:r w:rsidRPr="00F1719B">
              <w:t>rage production workplace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9B" w:rsidP="00F1719B">
            <w:pPr>
              <w:pStyle w:val="BodyText"/>
            </w:pPr>
            <w:r w:rsidRPr="00F1719B">
              <w:t>Equivalent unit</w:t>
            </w:r>
          </w:p>
        </w:tc>
      </w:tr>
    </w:tbl>
    <w:p w:rsidR="00000000" w:rsidRPr="00F1719B" w:rsidP="00F1719B">
      <w:pPr>
        <w:pStyle w:val="BodyText"/>
      </w:pPr>
    </w:p>
    <w:p w:rsidR="00000000" w:rsidRPr="00F1719B" w:rsidP="00F1719B">
      <w:pPr>
        <w:pStyle w:val="AllowPageBreak"/>
      </w:pPr>
    </w:p>
    <w:p w:rsidR="00000000" w:rsidRPr="00F1719B" w:rsidP="00F1719B">
      <w:pPr>
        <w:pStyle w:val="Heading1"/>
      </w:pPr>
      <w:bookmarkStart w:id="8" w:name="O_1059029"/>
      <w:bookmarkEnd w:id="8"/>
      <w:r w:rsidRPr="00F1719B">
        <w:t>Links</w:t>
      </w:r>
    </w:p>
    <w:p w:rsidR="00000000" w:rsidRPr="00F1719B" w:rsidP="00E96DD3">
      <w:pPr>
        <w:pStyle w:val="BodyText"/>
      </w:pPr>
      <w:r w:rsidRPr="00F1719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C0C3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1719B" w:rsidP="00F1719B"/>
    <w:sectPr w:rsidSect="00F171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1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19B" w:rsidRPr="00E96DD3" w:rsidP="00E96D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1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DD3" w:rsidP="00F171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6DD3" w:rsidP="00F171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96DD3" w:rsidP="00F171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1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D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19B" w:rsidRPr="00E96DD3" w:rsidP="00E96D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1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DD3" w:rsidRPr="002D2AF8" w:rsidP="00F171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FBPCEL2009 Carry out transfer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E96DD3" w:rsidP="00F171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C0A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0E63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1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1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1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1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1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1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1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1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1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1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1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19B"/>
  </w:style>
  <w:style w:type="character" w:customStyle="1" w:styleId="Heading1Char">
    <w:name w:val="Heading 1 Char"/>
    <w:basedOn w:val="DefaultParagraphFont"/>
    <w:link w:val="Heading1"/>
    <w:rsid w:val="00F171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1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1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719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1719B"/>
    <w:rPr>
      <w:i/>
    </w:rPr>
  </w:style>
  <w:style w:type="paragraph" w:customStyle="1" w:styleId="SuperHeading">
    <w:name w:val="SuperHeading"/>
    <w:basedOn w:val="Normal"/>
    <w:rsid w:val="00F171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1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1719B"/>
    <w:rPr>
      <w:b/>
    </w:rPr>
  </w:style>
  <w:style w:type="character" w:customStyle="1" w:styleId="Heading2Char">
    <w:name w:val="Heading 2 Char"/>
    <w:basedOn w:val="DefaultParagraphFont"/>
    <w:link w:val="Heading2"/>
    <w:rsid w:val="00F171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1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1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1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1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1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1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1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1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1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1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1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1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1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1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1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1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1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1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71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719B"/>
    <w:rPr>
      <w:b/>
      <w:spacing w:val="0"/>
    </w:rPr>
  </w:style>
  <w:style w:type="paragraph" w:customStyle="1" w:styleId="SuperTitle">
    <w:name w:val="SuperTitle"/>
    <w:basedOn w:val="Title"/>
    <w:rsid w:val="00F171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1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1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71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71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1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1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1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1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1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1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1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1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71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1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1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19B"/>
  </w:style>
  <w:style w:type="paragraph" w:styleId="TableofFigures">
    <w:name w:val="table of figures"/>
    <w:basedOn w:val="Normal"/>
    <w:next w:val="Normal"/>
    <w:semiHidden/>
    <w:rsid w:val="00F171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1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719B"/>
    <w:rPr>
      <w:rFonts w:ascii="Wingdings" w:hAnsi="Wingdings"/>
    </w:rPr>
  </w:style>
  <w:style w:type="paragraph" w:customStyle="1" w:styleId="TableHeading">
    <w:name w:val="Table Heading"/>
    <w:basedOn w:val="HeadingBase"/>
    <w:rsid w:val="00F171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19B"/>
    <w:rPr>
      <w:color w:val="0033CC"/>
      <w:u w:val="none"/>
    </w:rPr>
  </w:style>
  <w:style w:type="paragraph" w:customStyle="1" w:styleId="BodyTextRight">
    <w:name w:val="Body Text Right"/>
    <w:basedOn w:val="BodyText"/>
    <w:rsid w:val="00F171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1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1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1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1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1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19B"/>
    <w:rPr>
      <w:sz w:val="32"/>
    </w:rPr>
  </w:style>
  <w:style w:type="paragraph" w:customStyle="1" w:styleId="HeadingProcedure">
    <w:name w:val="Heading Procedure"/>
    <w:basedOn w:val="HeadingBase"/>
    <w:next w:val="Normal"/>
    <w:rsid w:val="00F171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19B"/>
    <w:pPr>
      <w:spacing w:before="60" w:after="60"/>
    </w:pPr>
  </w:style>
  <w:style w:type="paragraph" w:styleId="ListContinue">
    <w:name w:val="List Continue"/>
    <w:basedOn w:val="List"/>
    <w:rsid w:val="00F1719B"/>
    <w:pPr>
      <w:ind w:firstLine="0"/>
    </w:pPr>
  </w:style>
  <w:style w:type="paragraph" w:customStyle="1" w:styleId="ListNote">
    <w:name w:val="List Note"/>
    <w:basedOn w:val="List"/>
    <w:rsid w:val="00F171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1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1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19B"/>
    <w:rPr>
      <w:rFonts w:ascii="Courier New" w:hAnsi="Courier New"/>
    </w:rPr>
  </w:style>
  <w:style w:type="paragraph" w:customStyle="1" w:styleId="NoteBullet">
    <w:name w:val="Note Bullet"/>
    <w:basedOn w:val="Note"/>
    <w:rsid w:val="00F171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1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1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1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1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71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1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19B"/>
    <w:rPr>
      <w:b/>
      <w:smallCaps/>
    </w:rPr>
  </w:style>
  <w:style w:type="paragraph" w:customStyle="1" w:styleId="TableListNumber">
    <w:name w:val="Table List Number"/>
    <w:basedOn w:val="ListNumber"/>
    <w:rsid w:val="00F171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1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19B"/>
    <w:pPr>
      <w:numPr>
        <w:numId w:val="8"/>
      </w:numPr>
    </w:pPr>
  </w:style>
  <w:style w:type="paragraph" w:customStyle="1" w:styleId="ListAlpha2">
    <w:name w:val="List Alpha 2"/>
    <w:basedOn w:val="List2"/>
    <w:rsid w:val="00F1719B"/>
    <w:pPr>
      <w:numPr>
        <w:numId w:val="7"/>
      </w:numPr>
    </w:pPr>
  </w:style>
  <w:style w:type="paragraph" w:styleId="List2">
    <w:name w:val="List 2"/>
    <w:basedOn w:val="BodyText"/>
    <w:rsid w:val="00F171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1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1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1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1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1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719B"/>
    <w:pPr>
      <w:numPr>
        <w:numId w:val="3"/>
      </w:numPr>
    </w:pPr>
  </w:style>
  <w:style w:type="paragraph" w:styleId="ListContinue2">
    <w:name w:val="List Continue 2"/>
    <w:basedOn w:val="List2"/>
    <w:rsid w:val="00F1719B"/>
    <w:pPr>
      <w:ind w:firstLine="0"/>
    </w:pPr>
  </w:style>
  <w:style w:type="paragraph" w:styleId="ListContinue3">
    <w:name w:val="List Continue 3"/>
    <w:basedOn w:val="List3"/>
    <w:rsid w:val="00F1719B"/>
    <w:pPr>
      <w:ind w:left="1021" w:firstLine="0"/>
    </w:pPr>
  </w:style>
  <w:style w:type="paragraph" w:styleId="ListContinue4">
    <w:name w:val="List Continue 4"/>
    <w:basedOn w:val="List4"/>
    <w:rsid w:val="00F1719B"/>
    <w:pPr>
      <w:ind w:firstLine="0"/>
    </w:pPr>
  </w:style>
  <w:style w:type="paragraph" w:styleId="ListContinue5">
    <w:name w:val="List Continue 5"/>
    <w:basedOn w:val="List5"/>
    <w:rsid w:val="00F1719B"/>
    <w:pPr>
      <w:ind w:firstLine="0"/>
    </w:pPr>
  </w:style>
  <w:style w:type="paragraph" w:styleId="ListNumber3">
    <w:name w:val="List Number 3"/>
    <w:basedOn w:val="List3"/>
    <w:rsid w:val="00F1719B"/>
    <w:pPr>
      <w:numPr>
        <w:numId w:val="4"/>
      </w:numPr>
    </w:pPr>
  </w:style>
  <w:style w:type="paragraph" w:styleId="ListNumber4">
    <w:name w:val="List Number 4"/>
    <w:basedOn w:val="List4"/>
    <w:rsid w:val="00F1719B"/>
    <w:pPr>
      <w:numPr>
        <w:numId w:val="5"/>
      </w:numPr>
    </w:pPr>
  </w:style>
  <w:style w:type="paragraph" w:styleId="ListNumber5">
    <w:name w:val="List Number 5"/>
    <w:basedOn w:val="List5"/>
    <w:rsid w:val="00F1719B"/>
    <w:pPr>
      <w:numPr>
        <w:numId w:val="6"/>
      </w:numPr>
    </w:pPr>
  </w:style>
  <w:style w:type="paragraph" w:styleId="BlockText">
    <w:name w:val="Block Text"/>
    <w:basedOn w:val="Normal"/>
    <w:rsid w:val="00F171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1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19B"/>
    <w:rPr>
      <w:sz w:val="16"/>
      <w:vertAlign w:val="superscript"/>
    </w:rPr>
  </w:style>
  <w:style w:type="character" w:customStyle="1" w:styleId="Symbols">
    <w:name w:val="Symbols"/>
    <w:basedOn w:val="DefaultParagraphFont"/>
    <w:rsid w:val="00F1719B"/>
    <w:rPr>
      <w:rFonts w:ascii="Symbol" w:hAnsi="Symbol"/>
    </w:rPr>
  </w:style>
  <w:style w:type="character" w:customStyle="1" w:styleId="MenuOptions">
    <w:name w:val="Menu Options"/>
    <w:basedOn w:val="DefaultParagraphFont"/>
    <w:rsid w:val="00F171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19B"/>
    <w:rPr>
      <w:b/>
    </w:rPr>
  </w:style>
  <w:style w:type="character" w:customStyle="1" w:styleId="Underlined">
    <w:name w:val="Underlined"/>
    <w:basedOn w:val="DefaultParagraphFont"/>
    <w:rsid w:val="00F1719B"/>
    <w:rPr>
      <w:u w:val="single"/>
    </w:rPr>
  </w:style>
  <w:style w:type="paragraph" w:customStyle="1" w:styleId="TableBodyTextRight">
    <w:name w:val="Table Body Text Right"/>
    <w:basedOn w:val="TableBodyText"/>
    <w:rsid w:val="00F171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19B"/>
    <w:rPr>
      <w:sz w:val="18"/>
    </w:rPr>
  </w:style>
  <w:style w:type="paragraph" w:customStyle="1" w:styleId="BodySmallRight">
    <w:name w:val="Body Small Right"/>
    <w:basedOn w:val="BodyTextRight"/>
    <w:rsid w:val="00F1719B"/>
    <w:rPr>
      <w:sz w:val="18"/>
      <w:szCs w:val="18"/>
    </w:rPr>
  </w:style>
  <w:style w:type="paragraph" w:customStyle="1" w:styleId="MarginEdition">
    <w:name w:val="Margin Edition"/>
    <w:basedOn w:val="MarginNote"/>
    <w:rsid w:val="00F171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19B"/>
    <w:rPr>
      <w:sz w:val="2"/>
      <w:szCs w:val="2"/>
    </w:rPr>
  </w:style>
  <w:style w:type="character" w:customStyle="1" w:styleId="Small">
    <w:name w:val="Small"/>
    <w:basedOn w:val="DefaultParagraphFont"/>
    <w:rsid w:val="00F1719B"/>
    <w:rPr>
      <w:sz w:val="16"/>
    </w:rPr>
  </w:style>
  <w:style w:type="paragraph" w:customStyle="1" w:styleId="WideTable">
    <w:name w:val="Wide Table"/>
    <w:basedOn w:val="Normal"/>
    <w:rsid w:val="00F171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19B"/>
  </w:style>
  <w:style w:type="paragraph" w:styleId="Quote">
    <w:name w:val="Quote"/>
    <w:basedOn w:val="Heading1"/>
    <w:link w:val="QuoteChar"/>
    <w:qFormat/>
    <w:rsid w:val="00F171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1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19B"/>
    <w:pPr>
      <w:pageBreakBefore/>
    </w:pPr>
  </w:style>
  <w:style w:type="paragraph" w:customStyle="1" w:styleId="Border">
    <w:name w:val="Border"/>
    <w:basedOn w:val="Normal"/>
    <w:qFormat/>
    <w:rsid w:val="00F171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1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1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1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1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1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1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1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1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19B"/>
    <w:rPr>
      <w:u w:val="single"/>
    </w:rPr>
  </w:style>
  <w:style w:type="character" w:customStyle="1" w:styleId="BoldandItalics">
    <w:name w:val="Bold and Italics"/>
    <w:qFormat/>
    <w:rsid w:val="00F1719B"/>
    <w:rPr>
      <w:b/>
      <w:i/>
      <w:u w:val="none"/>
    </w:rPr>
  </w:style>
  <w:style w:type="paragraph" w:styleId="BalloonText">
    <w:name w:val="Balloon Text"/>
    <w:basedOn w:val="Normal"/>
    <w:link w:val="BalloonTextChar"/>
    <w:rsid w:val="00F171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1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1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1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1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1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19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96D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3511</Characters>
  <Application>Microsoft Office Word</Application>
  <DocSecurity>0</DocSecurity>
  <Lines>130</Lines>
  <Paragraphs>84</Paragraphs>
  <ScaleCrop>false</ScaleCrop>
  <Company>Author-it Software Corporation Ltd.</Company>
  <LinksUpToDate>false</LinksUpToDate>
  <CharactersWithSpaces>3976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FBPCEL2009 Carry out transfer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2023-01-26T22:05:00Z</dcterms:created>
  <dcterms:modified xsi:type="dcterms:W3CDTF">2023-01-26T22:05:00Z</dcterms:modified>
</cp:coreProperties>
</file>