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35E0" w:rsidP="007335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FBPCDS2002 Provide and present wine tourism information</w:t>
      </w:r>
      <w:r>
        <w:fldChar w:fldCharType="end"/>
      </w:r>
    </w:p>
    <w:p w:rsidR="007335E0" w:rsidP="007335E0">
      <w:pPr>
        <w:pStyle w:val="Version"/>
        <w:sectPr w:rsidSect="00B72E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EA2" w:rsidP="00B72EA2">
      <w:pPr>
        <w:pStyle w:val="SuperHeading"/>
      </w:pPr>
      <w:r w:rsidRPr="00B72EA2">
        <w:t>FBPCDS2002 Provide and present wine tourism information</w:t>
      </w:r>
    </w:p>
    <w:p w:rsidR="00000000" w:rsidRPr="00B72EA2" w:rsidP="00B72EA2">
      <w:pPr>
        <w:pStyle w:val="Heading1"/>
      </w:pPr>
      <w:bookmarkStart w:id="1" w:name="O_994130"/>
      <w:bookmarkEnd w:id="1"/>
      <w:r w:rsidRPr="00B72E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72E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A2" w:rsidP="00B72EA2">
            <w:pPr>
              <w:pStyle w:val="BodyText"/>
            </w:pPr>
            <w:r w:rsidRPr="00B72EA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A2">
            <w:pPr>
              <w:pStyle w:val="BodyText"/>
              <w:rPr>
                <w:lang w:val="en-NZ"/>
              </w:rPr>
            </w:pPr>
            <w:r w:rsidRPr="00B72EA2">
              <w:rPr>
                <w:rStyle w:val="SpecialBold"/>
              </w:rPr>
              <w:t>Comments</w:t>
            </w:r>
          </w:p>
        </w:tc>
      </w:tr>
      <w:tr w:rsidTr="00B72E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A2">
            <w:pPr>
              <w:pStyle w:val="BodyText"/>
              <w:rPr>
                <w:lang w:val="en-NZ"/>
              </w:rPr>
            </w:pPr>
            <w:r w:rsidRPr="00B72EA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A2" w:rsidP="00B72EA2">
            <w:pPr>
              <w:pStyle w:val="BodyText"/>
            </w:pPr>
            <w:r w:rsidRPr="00B72EA2">
              <w:t>This version released with FBP Food, Beverage and Pharmaceutical Training Package Version 2.0.</w:t>
            </w:r>
          </w:p>
        </w:tc>
      </w:tr>
    </w:tbl>
    <w:p w:rsidR="00000000" w:rsidRPr="00B72EA2" w:rsidP="00B72EA2">
      <w:pPr>
        <w:pStyle w:val="BodyText"/>
      </w:pPr>
    </w:p>
    <w:p w:rsidR="00000000" w:rsidRPr="00B72EA2" w:rsidP="00B72EA2">
      <w:pPr>
        <w:pStyle w:val="AllowPageBreak"/>
      </w:pPr>
    </w:p>
    <w:p w:rsidR="00000000" w:rsidRPr="00B72EA2" w:rsidP="00B72EA2">
      <w:pPr>
        <w:pStyle w:val="Heading1"/>
      </w:pPr>
      <w:bookmarkStart w:id="2" w:name="O_994131"/>
      <w:bookmarkEnd w:id="2"/>
      <w:r w:rsidRPr="00B72EA2">
        <w:t>Application</w:t>
      </w:r>
    </w:p>
    <w:p w:rsidR="00000000" w:rsidRPr="00B72EA2" w:rsidP="007335E0">
      <w:pPr>
        <w:pStyle w:val="BodyText"/>
      </w:pPr>
      <w:r w:rsidRPr="00B72EA2">
        <w:t>This unit of competency describes the skills and knowledge requir</w:t>
      </w:r>
      <w:r w:rsidRPr="00B72EA2">
        <w:t>ed to provide and present relevant and accurate tourist information to winery visitors on wine products, wine growing, local history, and workplace facilities.</w:t>
      </w:r>
    </w:p>
    <w:p w:rsidR="00000000" w:rsidRPr="00B72EA2" w:rsidP="007335E0">
      <w:pPr>
        <w:pStyle w:val="BodyText"/>
      </w:pPr>
      <w:r w:rsidRPr="00B72EA2">
        <w:t xml:space="preserve">The unit applies to individuals who work in cellar door operations of wineries or distilleries. </w:t>
      </w:r>
      <w:r w:rsidRPr="00B72EA2">
        <w:t xml:space="preserve">Individuals generally work under supervision but have some autonomy and accountability for their own work. </w:t>
      </w:r>
    </w:p>
    <w:p w:rsidR="00000000" w:rsidRPr="00B72EA2" w:rsidP="007335E0">
      <w:pPr>
        <w:pStyle w:val="BodyText"/>
      </w:pPr>
      <w:r w:rsidRPr="00B72EA2">
        <w:t>All work must be carried out to comply with workplace procedures, according to state/territory health and safety, and food safety regulations, legis</w:t>
      </w:r>
      <w:r w:rsidRPr="00B72EA2">
        <w:t>lation and standards that apply to the workplace.</w:t>
      </w:r>
    </w:p>
    <w:p w:rsidR="00000000" w:rsidRPr="00B72EA2" w:rsidP="007335E0">
      <w:pPr>
        <w:pStyle w:val="BodyText"/>
      </w:pPr>
      <w:r w:rsidRPr="00B72EA2">
        <w:t>No occupational licensing, legislative or certification requirements apply to this unit at the time of publication.</w:t>
      </w:r>
    </w:p>
    <w:p w:rsidR="00000000" w:rsidRPr="00B72EA2" w:rsidP="00B72EA2">
      <w:pPr>
        <w:pStyle w:val="Heading1"/>
      </w:pPr>
      <w:bookmarkStart w:id="3" w:name="O_994132"/>
      <w:bookmarkEnd w:id="3"/>
      <w:r w:rsidRPr="00B72EA2">
        <w:t>Pre-requisite Unit</w:t>
      </w:r>
    </w:p>
    <w:p w:rsidR="00000000" w:rsidRPr="00B72EA2" w:rsidP="007335E0">
      <w:pPr>
        <w:pStyle w:val="BodyText"/>
      </w:pPr>
      <w:r w:rsidRPr="00B72EA2">
        <w:t>Nil</w:t>
      </w:r>
    </w:p>
    <w:p w:rsidR="00000000" w:rsidRPr="00B72EA2" w:rsidP="00B72EA2">
      <w:pPr>
        <w:pStyle w:val="Heading1"/>
      </w:pPr>
      <w:bookmarkStart w:id="4" w:name="O_994134"/>
      <w:bookmarkEnd w:id="4"/>
      <w:r w:rsidRPr="00B72EA2">
        <w:t>Unit Sector</w:t>
      </w:r>
    </w:p>
    <w:p w:rsidR="00000000" w:rsidRPr="00B72EA2" w:rsidP="007335E0">
      <w:pPr>
        <w:pStyle w:val="BodyText"/>
      </w:pPr>
      <w:r w:rsidRPr="00B72EA2">
        <w:t>Cellar Door (CDS)</w:t>
      </w:r>
    </w:p>
    <w:p w:rsidR="00000000" w:rsidRPr="00B72EA2" w:rsidP="00B72EA2">
      <w:pPr>
        <w:pStyle w:val="Heading1"/>
      </w:pPr>
      <w:bookmarkStart w:id="5" w:name="O_994135"/>
      <w:bookmarkEnd w:id="5"/>
      <w:r w:rsidRPr="00B72EA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3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A2" w:rsidP="00B72EA2">
            <w:pPr>
              <w:pStyle w:val="BodyText"/>
            </w:pPr>
            <w:r w:rsidRPr="00B72EA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A2">
            <w:pPr>
              <w:pStyle w:val="BodyText"/>
              <w:rPr>
                <w:lang w:val="en-NZ"/>
              </w:rPr>
            </w:pPr>
            <w:r w:rsidRPr="00B72EA2">
              <w:rPr>
                <w:rStyle w:val="SpecialBold"/>
              </w:rPr>
              <w:t>Performance Criteria</w:t>
            </w:r>
          </w:p>
        </w:tc>
      </w:tr>
      <w:tr w:rsidTr="00733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A2" w:rsidP="00B72EA2">
            <w:pPr>
              <w:pStyle w:val="BodyText"/>
            </w:pPr>
            <w:r w:rsidRPr="00B72EA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A2">
            <w:pPr>
              <w:pStyle w:val="BodyText"/>
              <w:rPr>
                <w:lang w:val="en-NZ"/>
              </w:rPr>
            </w:pPr>
            <w:r w:rsidRPr="00B72E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3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A2">
            <w:pPr>
              <w:pStyle w:val="BodyText"/>
              <w:rPr>
                <w:lang w:val="en-NZ"/>
              </w:rPr>
            </w:pPr>
            <w:r w:rsidRPr="00B72EA2">
              <w:t>1. Provide general overview of the A</w:t>
            </w:r>
            <w:r w:rsidRPr="00B72EA2">
              <w:t>ustralian wine industry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A2" w:rsidP="00B72EA2">
            <w:pPr>
              <w:pStyle w:val="BodyText"/>
            </w:pPr>
            <w:r w:rsidRPr="00B72EA2">
              <w:t>1.1 Provide a brief history of Australian viticulture and wine production to visitors on request</w:t>
            </w:r>
          </w:p>
          <w:p w:rsidR="00000000" w:rsidRPr="00B72EA2" w:rsidP="00B72EA2">
            <w:pPr>
              <w:pStyle w:val="BodyText"/>
            </w:pPr>
            <w:r w:rsidRPr="00B72EA2">
              <w:t xml:space="preserve">1.2 Identify the main wine grape growing regions of Australia and </w:t>
            </w:r>
            <w:r w:rsidRPr="00B72EA2">
              <w:t>explain distinguishing features in response to visitor enquiries</w:t>
            </w:r>
          </w:p>
          <w:p w:rsidR="00000000" w:rsidRPr="00B72EA2" w:rsidP="00B72EA2">
            <w:pPr>
              <w:pStyle w:val="BodyText"/>
            </w:pPr>
            <w:r w:rsidRPr="00B72EA2">
              <w:t xml:space="preserve">1.3 </w:t>
            </w:r>
            <w:r w:rsidRPr="00B72EA2">
              <w:t>Describe the position of Australian wines in relation to world markets</w:t>
            </w:r>
          </w:p>
          <w:p w:rsidR="00000000" w:rsidRPr="00B72EA2" w:rsidP="00B72EA2">
            <w:pPr>
              <w:pStyle w:val="BodyText"/>
            </w:pPr>
            <w:r w:rsidRPr="00B72EA2">
              <w:t xml:space="preserve">1.4 Explain the risk from visitors bringing phylloxera into quarantine areas and describe procedures for controlling and minimising this risk </w:t>
            </w:r>
          </w:p>
          <w:p w:rsidR="00000000" w:rsidP="00B72EA2">
            <w:pPr>
              <w:pStyle w:val="BodyText"/>
              <w:rPr>
                <w:lang w:val="en-NZ"/>
              </w:rPr>
            </w:pPr>
            <w:r w:rsidRPr="00B72EA2">
              <w:t>1.5 Identify and comply with workplace req</w:t>
            </w:r>
            <w:r w:rsidRPr="00B72EA2">
              <w:t>uirements for visitor access, health and safety in the workplace and the provision of information</w:t>
            </w:r>
          </w:p>
        </w:tc>
      </w:tr>
      <w:tr w:rsidTr="00733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A2">
            <w:pPr>
              <w:pStyle w:val="BodyText"/>
              <w:rPr>
                <w:lang w:val="en-NZ"/>
              </w:rPr>
            </w:pPr>
            <w:r w:rsidRPr="00B72EA2">
              <w:t>2. Provide general regional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A2" w:rsidP="00B72EA2">
            <w:pPr>
              <w:pStyle w:val="BodyText"/>
            </w:pPr>
            <w:r w:rsidRPr="00B72EA2">
              <w:t>2.1 Identify and describe grape varieties commonly grown in the region</w:t>
            </w:r>
          </w:p>
          <w:p w:rsidR="00000000" w:rsidRPr="00B72EA2" w:rsidP="00B72EA2">
            <w:pPr>
              <w:pStyle w:val="BodyText"/>
            </w:pPr>
            <w:r w:rsidRPr="00B72EA2">
              <w:t>2.2 Explain the location of tourist information centre and other local tourist attractions to visitors and provide information about special events</w:t>
            </w:r>
          </w:p>
          <w:p w:rsidR="00000000" w:rsidRPr="00B72EA2" w:rsidP="00B72EA2">
            <w:pPr>
              <w:pStyle w:val="BodyText"/>
            </w:pPr>
            <w:r w:rsidRPr="00B72EA2">
              <w:t>2.3 Provide a brief outline of local history to visitors</w:t>
            </w:r>
          </w:p>
          <w:p w:rsidR="00000000" w:rsidRPr="00B72EA2" w:rsidP="00B72EA2">
            <w:pPr>
              <w:pStyle w:val="BodyText"/>
            </w:pPr>
            <w:r w:rsidRPr="00B72EA2">
              <w:t>2.4 Maintain current details about local facilities</w:t>
            </w:r>
            <w:r w:rsidRPr="00B72EA2">
              <w:t xml:space="preserve"> and provide to visitors on request</w:t>
            </w:r>
          </w:p>
          <w:p w:rsidR="00000000" w:rsidRPr="00B72EA2" w:rsidP="00B72EA2">
            <w:pPr>
              <w:pStyle w:val="BodyText"/>
            </w:pPr>
            <w:r w:rsidRPr="00B72EA2">
              <w:t>2.5 Provide contact names and locations of local wineries to visitors on request</w:t>
            </w:r>
          </w:p>
          <w:p w:rsidR="00000000" w:rsidP="00B72EA2">
            <w:pPr>
              <w:pStyle w:val="BodyText"/>
              <w:rPr>
                <w:lang w:val="en-NZ"/>
              </w:rPr>
            </w:pPr>
            <w:r w:rsidRPr="00B72EA2">
              <w:t>2.6 Access and provide current local tourist information brochures and online information</w:t>
            </w:r>
          </w:p>
        </w:tc>
      </w:tr>
      <w:tr w:rsidTr="00733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A2">
            <w:pPr>
              <w:pStyle w:val="BodyText"/>
              <w:rPr>
                <w:lang w:val="en-NZ"/>
              </w:rPr>
            </w:pPr>
            <w:r w:rsidRPr="00B72EA2">
              <w:t>3. Provide general information about the organis</w:t>
            </w:r>
            <w:r w:rsidRPr="00B72EA2">
              <w:t>ation and its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A2" w:rsidP="00B72EA2">
            <w:pPr>
              <w:pStyle w:val="BodyText"/>
            </w:pPr>
            <w:r w:rsidRPr="00B72EA2">
              <w:t>3.1 Provide a brief history of the organisation to visitors</w:t>
            </w:r>
          </w:p>
          <w:p w:rsidR="00000000" w:rsidRPr="00B72EA2" w:rsidP="00B72EA2">
            <w:pPr>
              <w:pStyle w:val="BodyText"/>
            </w:pPr>
            <w:r w:rsidRPr="00B72EA2">
              <w:t>3.2 Explain the role of the cellar door operations within the workplace</w:t>
            </w:r>
          </w:p>
          <w:p w:rsidR="00000000" w:rsidRPr="00B72EA2" w:rsidP="00B72EA2">
            <w:pPr>
              <w:pStyle w:val="BodyText"/>
            </w:pPr>
            <w:r w:rsidRPr="00B72EA2">
              <w:t>3.3 Identify the countries to which workplace products are exported and provide information about exp</w:t>
            </w:r>
            <w:r w:rsidRPr="00B72EA2">
              <w:t>orted products to visitors</w:t>
            </w:r>
          </w:p>
          <w:p w:rsidR="00000000" w:rsidRPr="00B72EA2" w:rsidP="00B72EA2">
            <w:pPr>
              <w:pStyle w:val="BodyText"/>
            </w:pPr>
            <w:r w:rsidRPr="00B72EA2">
              <w:t>3.4 Explain the Australian wine awards system to visitors and application to the workplace product range</w:t>
            </w:r>
          </w:p>
          <w:p w:rsidR="00000000" w:rsidRPr="00B72EA2" w:rsidP="00B72EA2">
            <w:pPr>
              <w:pStyle w:val="BodyText"/>
            </w:pPr>
            <w:r w:rsidRPr="00B72EA2">
              <w:t>3.5 Explain key wine industry bodies, events and their functions to visitors</w:t>
            </w:r>
          </w:p>
        </w:tc>
      </w:tr>
    </w:tbl>
    <w:p w:rsidR="00000000" w:rsidRPr="00B72EA2" w:rsidP="00B72EA2">
      <w:pPr>
        <w:pStyle w:val="BodyText"/>
      </w:pPr>
    </w:p>
    <w:p w:rsidR="00000000" w:rsidRPr="00B72EA2" w:rsidP="00B72EA2">
      <w:pPr>
        <w:pStyle w:val="AllowPageBreak"/>
      </w:pPr>
    </w:p>
    <w:p w:rsidR="00000000" w:rsidRPr="00B72EA2" w:rsidP="00B72EA2">
      <w:pPr>
        <w:pStyle w:val="Heading1"/>
      </w:pPr>
      <w:bookmarkStart w:id="6" w:name="O_994136"/>
      <w:bookmarkEnd w:id="6"/>
      <w:r w:rsidRPr="00B72EA2">
        <w:t>Foundation Skills</w:t>
      </w:r>
    </w:p>
    <w:p w:rsidR="00000000" w:rsidRPr="007335E0" w:rsidP="007335E0">
      <w:pPr>
        <w:pStyle w:val="BodyText"/>
        <w:rPr>
          <w:i/>
        </w:rPr>
      </w:pPr>
      <w:r w:rsidRPr="007335E0">
        <w:rPr>
          <w:rStyle w:val="Emphasis"/>
        </w:rPr>
        <w:t>This secti</w:t>
      </w:r>
      <w:r w:rsidRPr="007335E0">
        <w:rPr>
          <w:rStyle w:val="Emphasis"/>
        </w:rPr>
        <w:t>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2E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A2" w:rsidP="00B72EA2">
            <w:pPr>
              <w:pStyle w:val="BodyText"/>
            </w:pPr>
            <w:r w:rsidRPr="00B72EA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A2">
            <w:pPr>
              <w:pStyle w:val="BodyText"/>
              <w:rPr>
                <w:lang w:val="en-NZ"/>
              </w:rPr>
            </w:pPr>
            <w:r w:rsidRPr="00B72EA2">
              <w:rPr>
                <w:rStyle w:val="SpecialBold"/>
              </w:rPr>
              <w:t>Description</w:t>
            </w:r>
          </w:p>
        </w:tc>
      </w:tr>
      <w:tr w:rsidTr="00B72E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A2">
            <w:pPr>
              <w:pStyle w:val="BodyText"/>
              <w:rPr>
                <w:lang w:val="en-NZ"/>
              </w:rPr>
            </w:pPr>
            <w:r w:rsidRPr="00B72EA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A2">
            <w:pPr>
              <w:pStyle w:val="ListBullet"/>
              <w:rPr>
                <w:lang w:val="en-NZ"/>
              </w:rPr>
            </w:pPr>
            <w:r w:rsidRPr="00B72EA2">
              <w:t xml:space="preserve">Gather and interpret tourism information from various sources </w:t>
            </w:r>
          </w:p>
        </w:tc>
      </w:tr>
      <w:tr w:rsidTr="00B72E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A2">
            <w:pPr>
              <w:pStyle w:val="BodyText"/>
              <w:rPr>
                <w:lang w:val="en-NZ"/>
              </w:rPr>
            </w:pPr>
            <w:r w:rsidRPr="00B72EA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A2" w:rsidP="00B72EA2">
            <w:pPr>
              <w:pStyle w:val="ListBullet"/>
            </w:pPr>
            <w:r w:rsidRPr="00B72EA2">
              <w:t>Use clear language to convey industry-specific information appropriate to visitor</w:t>
            </w:r>
          </w:p>
          <w:p w:rsidR="00000000" w:rsidP="00B72EA2">
            <w:pPr>
              <w:pStyle w:val="ListBullet"/>
              <w:rPr>
                <w:lang w:val="en-NZ"/>
              </w:rPr>
            </w:pPr>
            <w:r w:rsidRPr="00B72EA2">
              <w:t>Use active listening skills to respond to questions from visitors and to provide informati</w:t>
            </w:r>
            <w:r w:rsidRPr="00B72EA2">
              <w:t>on that meets visitor needs</w:t>
            </w:r>
          </w:p>
        </w:tc>
      </w:tr>
      <w:tr w:rsidTr="00B72E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A2">
            <w:pPr>
              <w:pStyle w:val="BodyText"/>
              <w:rPr>
                <w:lang w:val="en-NZ"/>
              </w:rPr>
            </w:pPr>
            <w:r w:rsidRPr="00B72EA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A2">
            <w:pPr>
              <w:pStyle w:val="ListBullet"/>
              <w:rPr>
                <w:lang w:val="en-NZ"/>
              </w:rPr>
            </w:pPr>
            <w:r w:rsidRPr="00B72EA2">
              <w:t>Understand biosecurity and health and safety in the workplace requirements relevant to own role</w:t>
            </w:r>
          </w:p>
        </w:tc>
      </w:tr>
      <w:tr w:rsidTr="00B72E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A2">
            <w:pPr>
              <w:pStyle w:val="BodyText"/>
              <w:rPr>
                <w:lang w:val="en-NZ"/>
              </w:rPr>
            </w:pPr>
            <w:r w:rsidRPr="00B72EA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A2">
            <w:pPr>
              <w:pStyle w:val="ListBullet"/>
              <w:rPr>
                <w:lang w:val="en-NZ"/>
              </w:rPr>
            </w:pPr>
            <w:r w:rsidRPr="00B72EA2">
              <w:t>Use accepted practices and protocols for communicating with people external to the organisation</w:t>
            </w:r>
          </w:p>
        </w:tc>
      </w:tr>
      <w:tr w:rsidTr="00B72E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A2">
            <w:pPr>
              <w:pStyle w:val="BodyText"/>
              <w:rPr>
                <w:lang w:val="en-NZ"/>
              </w:rPr>
            </w:pPr>
            <w:r w:rsidRPr="00B72EA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A2" w:rsidP="00B72EA2">
            <w:pPr>
              <w:pStyle w:val="ListBullet"/>
            </w:pPr>
            <w:r w:rsidRPr="00B72EA2">
              <w:t>Use the main features and functions of digital tools to identify and convey tourism information</w:t>
            </w:r>
          </w:p>
        </w:tc>
      </w:tr>
    </w:tbl>
    <w:p w:rsidR="00000000" w:rsidRPr="00B72EA2" w:rsidP="00B72EA2">
      <w:pPr>
        <w:pStyle w:val="BodyText"/>
      </w:pPr>
    </w:p>
    <w:p w:rsidR="00000000" w:rsidRPr="00B72EA2" w:rsidP="00B72EA2">
      <w:pPr>
        <w:pStyle w:val="AllowPageBreak"/>
      </w:pPr>
    </w:p>
    <w:p w:rsidR="00000000" w:rsidRPr="00B72EA2" w:rsidP="00B72EA2">
      <w:pPr>
        <w:pStyle w:val="Heading1"/>
      </w:pPr>
      <w:bookmarkStart w:id="7" w:name="O_994138"/>
      <w:bookmarkEnd w:id="7"/>
      <w:r w:rsidRPr="00B72EA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72E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A2" w:rsidP="00B72EA2">
            <w:pPr>
              <w:pStyle w:val="BodyText"/>
            </w:pPr>
            <w:r w:rsidRPr="00B72EA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A2" w:rsidP="00B72EA2">
            <w:pPr>
              <w:pStyle w:val="BodyText"/>
            </w:pPr>
            <w:r w:rsidRPr="00B72EA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A2" w:rsidP="00B72EA2">
            <w:pPr>
              <w:pStyle w:val="BodyText"/>
            </w:pPr>
            <w:r w:rsidRPr="00B72EA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A2">
            <w:pPr>
              <w:pStyle w:val="BodyText"/>
              <w:rPr>
                <w:lang w:val="en-NZ"/>
              </w:rPr>
            </w:pPr>
            <w:r w:rsidRPr="00B72EA2">
              <w:rPr>
                <w:rStyle w:val="SpecialBold"/>
              </w:rPr>
              <w:t>Equivalence status</w:t>
            </w:r>
          </w:p>
        </w:tc>
      </w:tr>
      <w:tr w:rsidTr="00B72E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A2">
            <w:pPr>
              <w:pStyle w:val="BodyText"/>
              <w:rPr>
                <w:lang w:val="en-NZ"/>
              </w:rPr>
            </w:pPr>
            <w:r w:rsidRPr="00B72EA2">
              <w:t>FBPCDS2002 Provide and present wine tourism information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A2">
            <w:pPr>
              <w:pStyle w:val="BodyText"/>
              <w:rPr>
                <w:lang w:val="en-NZ"/>
              </w:rPr>
            </w:pPr>
            <w:r w:rsidRPr="00B72EA2">
              <w:t>FDFCD2002A Promote wine tourism information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A2" w:rsidP="00B72EA2">
            <w:pPr>
              <w:pStyle w:val="BodyText"/>
            </w:pPr>
            <w:r w:rsidRPr="00B72EA2">
              <w:t xml:space="preserve">Updated to meet Standards for Training Packages  </w:t>
            </w:r>
          </w:p>
          <w:p w:rsidR="00000000" w:rsidRPr="00B72EA2" w:rsidP="00B72EA2">
            <w:pPr>
              <w:pStyle w:val="BodyText"/>
            </w:pPr>
            <w:r w:rsidRPr="00B72EA2">
              <w:t>Changed unit</w:t>
            </w:r>
            <w:r w:rsidRPr="00B72EA2">
              <w:t xml:space="preserve"> title and minor changes to Elements and Performance Criteria for clarity  </w:t>
            </w:r>
          </w:p>
          <w:p w:rsidR="00000000" w:rsidP="00B72EA2">
            <w:pPr>
              <w:pStyle w:val="BodyText"/>
              <w:rPr>
                <w:lang w:val="en-NZ"/>
              </w:rPr>
            </w:pPr>
            <w:r w:rsidRPr="00B72EA2">
              <w:t>Prerequisites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A2" w:rsidP="00B72EA2">
            <w:pPr>
              <w:pStyle w:val="BodyText"/>
            </w:pPr>
            <w:r w:rsidRPr="00B72EA2">
              <w:t>Equivalent unit</w:t>
            </w:r>
          </w:p>
        </w:tc>
      </w:tr>
    </w:tbl>
    <w:p w:rsidR="00000000" w:rsidRPr="00B72EA2" w:rsidP="00B72EA2">
      <w:pPr>
        <w:pStyle w:val="BodyText"/>
      </w:pPr>
    </w:p>
    <w:p w:rsidR="00000000" w:rsidRPr="00B72EA2" w:rsidP="00B72EA2">
      <w:pPr>
        <w:pStyle w:val="AllowPageBreak"/>
      </w:pPr>
    </w:p>
    <w:p w:rsidR="00000000" w:rsidRPr="00B72EA2" w:rsidP="00B72EA2">
      <w:pPr>
        <w:pStyle w:val="Heading1"/>
      </w:pPr>
      <w:bookmarkStart w:id="8" w:name="O_994151"/>
      <w:bookmarkEnd w:id="8"/>
      <w:r w:rsidRPr="00B72EA2">
        <w:t>Links</w:t>
      </w:r>
    </w:p>
    <w:p w:rsidR="00000000" w:rsidRPr="00B72EA2" w:rsidP="007335E0">
      <w:pPr>
        <w:pStyle w:val="BodyText"/>
      </w:pPr>
      <w:r w:rsidRPr="00B72EA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916C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72EA2" w:rsidP="00B72EA2"/>
    <w:sectPr w:rsidSect="00B72E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A2" w:rsidRPr="007335E0" w:rsidP="007335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5E0" w:rsidP="00B72E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35E0" w:rsidP="00B72E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335E0" w:rsidP="00B72E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5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EA2" w:rsidRPr="007335E0" w:rsidP="007335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5E0" w:rsidRPr="002D2AF8" w:rsidP="00B72E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FBPCDS2002 Provide and present wine tourism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7335E0" w:rsidP="00B72E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B83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2CC5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E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E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E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E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E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E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E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E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E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E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E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EA2"/>
  </w:style>
  <w:style w:type="character" w:customStyle="1" w:styleId="Heading1Char">
    <w:name w:val="Heading 1 Char"/>
    <w:basedOn w:val="DefaultParagraphFont"/>
    <w:link w:val="Heading1"/>
    <w:rsid w:val="00B72E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E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E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2E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2EA2"/>
    <w:rPr>
      <w:b/>
      <w:spacing w:val="0"/>
    </w:rPr>
  </w:style>
  <w:style w:type="character" w:styleId="Emphasis">
    <w:name w:val="Emphasis"/>
    <w:basedOn w:val="DefaultParagraphFont"/>
    <w:qFormat/>
    <w:rsid w:val="00B72EA2"/>
    <w:rPr>
      <w:i/>
    </w:rPr>
  </w:style>
  <w:style w:type="paragraph" w:customStyle="1" w:styleId="SuperHeading">
    <w:name w:val="SuperHeading"/>
    <w:basedOn w:val="Normal"/>
    <w:rsid w:val="00B72E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E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2E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E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E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E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E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E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E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E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E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E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E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E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E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E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E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2E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2E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E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E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2E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2E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E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E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E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E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E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E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E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E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2E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E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E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EA2"/>
  </w:style>
  <w:style w:type="paragraph" w:styleId="TableofFigures">
    <w:name w:val="table of figures"/>
    <w:basedOn w:val="Normal"/>
    <w:next w:val="Normal"/>
    <w:semiHidden/>
    <w:rsid w:val="00B72E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E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2EA2"/>
    <w:rPr>
      <w:rFonts w:ascii="Wingdings" w:hAnsi="Wingdings"/>
    </w:rPr>
  </w:style>
  <w:style w:type="paragraph" w:customStyle="1" w:styleId="TableHeading">
    <w:name w:val="Table Heading"/>
    <w:basedOn w:val="HeadingBase"/>
    <w:rsid w:val="00B72E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EA2"/>
    <w:rPr>
      <w:color w:val="0033CC"/>
      <w:u w:val="none"/>
    </w:rPr>
  </w:style>
  <w:style w:type="paragraph" w:customStyle="1" w:styleId="BodyTextRight">
    <w:name w:val="Body Text Right"/>
    <w:basedOn w:val="BodyText"/>
    <w:rsid w:val="00B72E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E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E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E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E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E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EA2"/>
    <w:rPr>
      <w:sz w:val="32"/>
    </w:rPr>
  </w:style>
  <w:style w:type="paragraph" w:customStyle="1" w:styleId="HeadingProcedure">
    <w:name w:val="Heading Procedure"/>
    <w:basedOn w:val="HeadingBase"/>
    <w:next w:val="Normal"/>
    <w:rsid w:val="00B72E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EA2"/>
    <w:pPr>
      <w:spacing w:before="60" w:after="60"/>
    </w:pPr>
  </w:style>
  <w:style w:type="paragraph" w:styleId="ListContinue">
    <w:name w:val="List Continue"/>
    <w:basedOn w:val="List"/>
    <w:rsid w:val="00B72EA2"/>
    <w:pPr>
      <w:ind w:firstLine="0"/>
    </w:pPr>
  </w:style>
  <w:style w:type="paragraph" w:customStyle="1" w:styleId="ListNote">
    <w:name w:val="List Note"/>
    <w:basedOn w:val="List"/>
    <w:rsid w:val="00B72E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E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E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EA2"/>
    <w:rPr>
      <w:rFonts w:ascii="Courier New" w:hAnsi="Courier New"/>
    </w:rPr>
  </w:style>
  <w:style w:type="paragraph" w:customStyle="1" w:styleId="NoteBullet">
    <w:name w:val="Note Bullet"/>
    <w:basedOn w:val="Note"/>
    <w:rsid w:val="00B72E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E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E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E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E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2E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E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EA2"/>
    <w:rPr>
      <w:b/>
      <w:smallCaps/>
    </w:rPr>
  </w:style>
  <w:style w:type="paragraph" w:customStyle="1" w:styleId="TableListNumber">
    <w:name w:val="Table List Number"/>
    <w:basedOn w:val="ListNumber"/>
    <w:rsid w:val="00B72E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E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EA2"/>
    <w:pPr>
      <w:numPr>
        <w:numId w:val="8"/>
      </w:numPr>
    </w:pPr>
  </w:style>
  <w:style w:type="paragraph" w:customStyle="1" w:styleId="ListAlpha2">
    <w:name w:val="List Alpha 2"/>
    <w:basedOn w:val="List2"/>
    <w:rsid w:val="00B72EA2"/>
    <w:pPr>
      <w:numPr>
        <w:numId w:val="7"/>
      </w:numPr>
    </w:pPr>
  </w:style>
  <w:style w:type="paragraph" w:styleId="List2">
    <w:name w:val="List 2"/>
    <w:basedOn w:val="BodyText"/>
    <w:rsid w:val="00B72E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E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E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E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E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E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2EA2"/>
    <w:pPr>
      <w:numPr>
        <w:numId w:val="3"/>
      </w:numPr>
    </w:pPr>
  </w:style>
  <w:style w:type="paragraph" w:styleId="ListContinue2">
    <w:name w:val="List Continue 2"/>
    <w:basedOn w:val="List2"/>
    <w:rsid w:val="00B72EA2"/>
    <w:pPr>
      <w:ind w:firstLine="0"/>
    </w:pPr>
  </w:style>
  <w:style w:type="paragraph" w:styleId="ListContinue3">
    <w:name w:val="List Continue 3"/>
    <w:basedOn w:val="List3"/>
    <w:rsid w:val="00B72EA2"/>
    <w:pPr>
      <w:ind w:left="1021" w:firstLine="0"/>
    </w:pPr>
  </w:style>
  <w:style w:type="paragraph" w:styleId="ListContinue4">
    <w:name w:val="List Continue 4"/>
    <w:basedOn w:val="List4"/>
    <w:rsid w:val="00B72EA2"/>
    <w:pPr>
      <w:ind w:firstLine="0"/>
    </w:pPr>
  </w:style>
  <w:style w:type="paragraph" w:styleId="ListContinue5">
    <w:name w:val="List Continue 5"/>
    <w:basedOn w:val="List5"/>
    <w:rsid w:val="00B72EA2"/>
    <w:pPr>
      <w:ind w:firstLine="0"/>
    </w:pPr>
  </w:style>
  <w:style w:type="paragraph" w:styleId="ListNumber3">
    <w:name w:val="List Number 3"/>
    <w:basedOn w:val="List3"/>
    <w:rsid w:val="00B72EA2"/>
    <w:pPr>
      <w:numPr>
        <w:numId w:val="4"/>
      </w:numPr>
    </w:pPr>
  </w:style>
  <w:style w:type="paragraph" w:styleId="ListNumber4">
    <w:name w:val="List Number 4"/>
    <w:basedOn w:val="List4"/>
    <w:rsid w:val="00B72EA2"/>
    <w:pPr>
      <w:numPr>
        <w:numId w:val="5"/>
      </w:numPr>
    </w:pPr>
  </w:style>
  <w:style w:type="paragraph" w:styleId="ListNumber5">
    <w:name w:val="List Number 5"/>
    <w:basedOn w:val="List5"/>
    <w:rsid w:val="00B72EA2"/>
    <w:pPr>
      <w:numPr>
        <w:numId w:val="6"/>
      </w:numPr>
    </w:pPr>
  </w:style>
  <w:style w:type="paragraph" w:styleId="BlockText">
    <w:name w:val="Block Text"/>
    <w:basedOn w:val="Normal"/>
    <w:rsid w:val="00B72E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E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EA2"/>
    <w:rPr>
      <w:sz w:val="16"/>
      <w:vertAlign w:val="superscript"/>
    </w:rPr>
  </w:style>
  <w:style w:type="character" w:customStyle="1" w:styleId="Symbols">
    <w:name w:val="Symbols"/>
    <w:basedOn w:val="DefaultParagraphFont"/>
    <w:rsid w:val="00B72EA2"/>
    <w:rPr>
      <w:rFonts w:ascii="Symbol" w:hAnsi="Symbol"/>
    </w:rPr>
  </w:style>
  <w:style w:type="character" w:customStyle="1" w:styleId="MenuOptions">
    <w:name w:val="Menu Options"/>
    <w:basedOn w:val="DefaultParagraphFont"/>
    <w:rsid w:val="00B72E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EA2"/>
    <w:rPr>
      <w:b/>
    </w:rPr>
  </w:style>
  <w:style w:type="character" w:customStyle="1" w:styleId="Underlined">
    <w:name w:val="Underlined"/>
    <w:basedOn w:val="DefaultParagraphFont"/>
    <w:rsid w:val="00B72EA2"/>
    <w:rPr>
      <w:u w:val="single"/>
    </w:rPr>
  </w:style>
  <w:style w:type="paragraph" w:customStyle="1" w:styleId="TableBodyTextRight">
    <w:name w:val="Table Body Text Right"/>
    <w:basedOn w:val="TableBodyText"/>
    <w:rsid w:val="00B72E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EA2"/>
    <w:rPr>
      <w:sz w:val="18"/>
    </w:rPr>
  </w:style>
  <w:style w:type="paragraph" w:customStyle="1" w:styleId="BodySmallRight">
    <w:name w:val="Body Small Right"/>
    <w:basedOn w:val="BodyTextRight"/>
    <w:rsid w:val="00B72EA2"/>
    <w:rPr>
      <w:sz w:val="18"/>
      <w:szCs w:val="18"/>
    </w:rPr>
  </w:style>
  <w:style w:type="paragraph" w:customStyle="1" w:styleId="MarginEdition">
    <w:name w:val="Margin Edition"/>
    <w:basedOn w:val="MarginNote"/>
    <w:rsid w:val="00B72E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EA2"/>
    <w:rPr>
      <w:sz w:val="2"/>
      <w:szCs w:val="2"/>
    </w:rPr>
  </w:style>
  <w:style w:type="character" w:customStyle="1" w:styleId="Small">
    <w:name w:val="Small"/>
    <w:basedOn w:val="DefaultParagraphFont"/>
    <w:rsid w:val="00B72EA2"/>
    <w:rPr>
      <w:sz w:val="16"/>
    </w:rPr>
  </w:style>
  <w:style w:type="paragraph" w:customStyle="1" w:styleId="WideTable">
    <w:name w:val="Wide Table"/>
    <w:basedOn w:val="Normal"/>
    <w:rsid w:val="00B72E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EA2"/>
  </w:style>
  <w:style w:type="paragraph" w:styleId="Quote">
    <w:name w:val="Quote"/>
    <w:basedOn w:val="Heading1"/>
    <w:link w:val="QuoteChar"/>
    <w:qFormat/>
    <w:rsid w:val="00B72E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E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EA2"/>
    <w:pPr>
      <w:pageBreakBefore/>
    </w:pPr>
  </w:style>
  <w:style w:type="paragraph" w:customStyle="1" w:styleId="Border">
    <w:name w:val="Border"/>
    <w:basedOn w:val="Normal"/>
    <w:qFormat/>
    <w:rsid w:val="00B72E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E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E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E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E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E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E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E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E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EA2"/>
    <w:rPr>
      <w:u w:val="single"/>
    </w:rPr>
  </w:style>
  <w:style w:type="character" w:customStyle="1" w:styleId="BoldandItalics">
    <w:name w:val="Bold and Italics"/>
    <w:qFormat/>
    <w:rsid w:val="00B72EA2"/>
    <w:rPr>
      <w:b/>
      <w:i/>
      <w:u w:val="none"/>
    </w:rPr>
  </w:style>
  <w:style w:type="paragraph" w:styleId="BalloonText">
    <w:name w:val="Balloon Text"/>
    <w:basedOn w:val="Normal"/>
    <w:link w:val="BalloonTextChar"/>
    <w:rsid w:val="00B72E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E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E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E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E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E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EA2"/>
    <w:pPr>
      <w:spacing w:before="0" w:after="0"/>
    </w:pPr>
  </w:style>
  <w:style w:type="paragraph" w:customStyle="1" w:styleId="BodyTextBold">
    <w:name w:val="Body Text Bold"/>
    <w:basedOn w:val="BodyText"/>
    <w:qFormat/>
    <w:rsid w:val="00B72EA2"/>
    <w:rPr>
      <w:b/>
    </w:rPr>
  </w:style>
  <w:style w:type="character" w:styleId="Hyperlink">
    <w:name w:val="Hyperlink"/>
    <w:basedOn w:val="DefaultParagraphFont"/>
    <w:uiPriority w:val="99"/>
    <w:unhideWhenUsed/>
    <w:rsid w:val="007335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3971</Characters>
  <Application>Microsoft Office Word</Application>
  <DocSecurity>0</DocSecurity>
  <Lines>147</Lines>
  <Paragraphs>82</Paragraphs>
  <ScaleCrop>false</ScaleCrop>
  <Company>Author-it Software Corporation Ltd.</Company>
  <LinksUpToDate>false</LinksUpToDate>
  <CharactersWithSpaces>4538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FBPCDS2002 Provide and present wine tourism information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2023-01-25T15:13:00Z</dcterms:created>
  <dcterms:modified xsi:type="dcterms:W3CDTF">2023-01-25T15:13:00Z</dcterms:modified>
</cp:coreProperties>
</file>