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7EA" w:rsidP="00C55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FBPCDS2002 Provide and present wine tourism information</w:t>
      </w:r>
      <w:r>
        <w:fldChar w:fldCharType="end"/>
      </w:r>
    </w:p>
    <w:p w:rsidR="00C557EA" w:rsidP="00C557EA">
      <w:pPr>
        <w:pStyle w:val="Version"/>
        <w:sectPr w:rsidSect="00630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EFA" w:rsidP="00630EFA">
      <w:pPr>
        <w:pStyle w:val="SuperHeading"/>
      </w:pPr>
      <w:r w:rsidRPr="00630EFA">
        <w:t>Assessment Requirements for FBPCDS2002 Provide and present wine tourism information</w:t>
      </w:r>
    </w:p>
    <w:p w:rsidR="00000000" w:rsidRPr="00630EFA" w:rsidP="00630EFA">
      <w:pPr>
        <w:pStyle w:val="Heading1"/>
      </w:pPr>
      <w:bookmarkStart w:id="1" w:name="O_994142"/>
      <w:bookmarkEnd w:id="1"/>
      <w:r w:rsidRPr="00630E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0E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EFA" w:rsidP="00630EFA">
            <w:pPr>
              <w:pStyle w:val="BodyText"/>
            </w:pPr>
            <w:r w:rsidRPr="00630EF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EFA">
            <w:pPr>
              <w:pStyle w:val="BodyText"/>
              <w:rPr>
                <w:lang w:val="en-NZ"/>
              </w:rPr>
            </w:pPr>
            <w:r w:rsidRPr="00630EFA">
              <w:rPr>
                <w:rStyle w:val="SpecialBold"/>
              </w:rPr>
              <w:t>Comments</w:t>
            </w:r>
          </w:p>
        </w:tc>
      </w:tr>
      <w:tr w:rsidTr="00630E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EFA">
            <w:pPr>
              <w:pStyle w:val="BodyText"/>
              <w:rPr>
                <w:lang w:val="en-NZ"/>
              </w:rPr>
            </w:pPr>
            <w:r w:rsidRPr="00630E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EFA" w:rsidP="00630EFA">
            <w:pPr>
              <w:pStyle w:val="BodyText"/>
            </w:pPr>
            <w:r w:rsidRPr="00630EFA">
              <w:t>This version released with FBP Food, Beverage and Pharmaceutical Training Package Version 2.0.</w:t>
            </w:r>
          </w:p>
        </w:tc>
      </w:tr>
    </w:tbl>
    <w:p w:rsidR="00000000" w:rsidRPr="00630EFA" w:rsidP="00630EFA">
      <w:pPr>
        <w:pStyle w:val="BodyText"/>
      </w:pPr>
    </w:p>
    <w:p w:rsidR="00000000" w:rsidRPr="00630EFA" w:rsidP="00630EFA">
      <w:pPr>
        <w:pStyle w:val="AllowPageBreak"/>
      </w:pPr>
    </w:p>
    <w:p w:rsidR="00000000" w:rsidRPr="00630EFA" w:rsidP="00630EFA">
      <w:pPr>
        <w:pStyle w:val="Heading1"/>
      </w:pPr>
      <w:bookmarkStart w:id="2" w:name="O_994143"/>
      <w:bookmarkEnd w:id="2"/>
      <w:r w:rsidRPr="00630EFA">
        <w:t>Performance Evidence</w:t>
      </w:r>
    </w:p>
    <w:p w:rsidR="00000000" w:rsidRPr="00630EFA" w:rsidP="00C557EA">
      <w:pPr>
        <w:pStyle w:val="BodyText"/>
      </w:pPr>
      <w:r w:rsidRPr="00630EFA">
        <w:t>An individual demonstrating competency must satisfy all of the elements and performance criteria in this unit.</w:t>
      </w:r>
    </w:p>
    <w:p w:rsidR="00000000" w:rsidRPr="00630EFA" w:rsidP="00C557EA">
      <w:pPr>
        <w:pStyle w:val="BodyText"/>
      </w:pPr>
      <w:r w:rsidRPr="00630EFA">
        <w:t>There must be evidence that the individual has provided wine tourism information for at least two separate visitor e</w:t>
      </w:r>
      <w:r w:rsidRPr="00630EFA">
        <w:t>nquiries and has demonstrated the following:</w:t>
      </w:r>
    </w:p>
    <w:p w:rsidR="00000000" w:rsidRPr="00630EFA" w:rsidP="00630EFA">
      <w:pPr>
        <w:pStyle w:val="ListBullet"/>
      </w:pPr>
      <w:r w:rsidRPr="00630EFA">
        <w:t>accessed information about the history and product range of the organisation, regional and Australian wines</w:t>
      </w:r>
    </w:p>
    <w:p w:rsidR="00000000" w:rsidRPr="00630EFA" w:rsidP="00630EFA">
      <w:pPr>
        <w:pStyle w:val="ListBullet"/>
      </w:pPr>
      <w:r w:rsidRPr="00630EFA">
        <w:t>accessed workplace information to identify wine industry tourism promotion requirements</w:t>
      </w:r>
    </w:p>
    <w:p w:rsidR="00000000" w:rsidRPr="00630EFA" w:rsidP="00630EFA">
      <w:pPr>
        <w:pStyle w:val="ListBullet"/>
      </w:pPr>
      <w:r w:rsidRPr="00630EFA">
        <w:t>provided touri</w:t>
      </w:r>
      <w:r w:rsidRPr="00630EFA">
        <w:t>sm information appropriate to the needs of visitors to the cellar door</w:t>
      </w:r>
    </w:p>
    <w:p w:rsidR="00000000" w:rsidRPr="00630EFA" w:rsidP="00630EFA">
      <w:pPr>
        <w:pStyle w:val="ListBullet"/>
      </w:pPr>
      <w:r w:rsidRPr="00630EFA">
        <w:t>explained phylloxera threats and prevention measures to visitors</w:t>
      </w:r>
    </w:p>
    <w:p w:rsidR="00000000" w:rsidRPr="00630EFA" w:rsidP="00630EFA">
      <w:pPr>
        <w:pStyle w:val="ListBullet"/>
      </w:pPr>
      <w:r w:rsidRPr="00630EFA">
        <w:t>maintained cellar door information resources and display areas</w:t>
      </w:r>
    </w:p>
    <w:p w:rsidR="00000000" w:rsidRPr="00630EFA" w:rsidP="00630EFA">
      <w:pPr>
        <w:pStyle w:val="ListBullet"/>
      </w:pPr>
      <w:r w:rsidRPr="00630EFA">
        <w:t>used digital tools to access and present wine industry information</w:t>
      </w:r>
    </w:p>
    <w:p w:rsidR="00000000" w:rsidRPr="00630EFA" w:rsidP="00630EFA">
      <w:pPr>
        <w:pStyle w:val="ListBullet"/>
      </w:pPr>
      <w:r w:rsidRPr="00630EFA">
        <w:t>presented clear and accurate wine tourism information covering:</w:t>
      </w:r>
    </w:p>
    <w:p w:rsidR="00000000" w:rsidRPr="00630EFA" w:rsidP="00630EFA">
      <w:pPr>
        <w:pStyle w:val="ListBullet2"/>
      </w:pPr>
      <w:r w:rsidRPr="00630EFA">
        <w:t>wine varieties and production in the local region</w:t>
      </w:r>
    </w:p>
    <w:p w:rsidR="00000000" w:rsidRPr="00630EFA" w:rsidP="00630EFA">
      <w:pPr>
        <w:pStyle w:val="ListBullet2"/>
      </w:pPr>
      <w:r w:rsidRPr="00630EFA">
        <w:t>main wine grape growing regions in Australia</w:t>
      </w:r>
    </w:p>
    <w:p w:rsidR="00000000" w:rsidRPr="00630EFA" w:rsidP="00630EFA">
      <w:pPr>
        <w:pStyle w:val="ListBullet2"/>
      </w:pPr>
      <w:r w:rsidRPr="00630EFA">
        <w:t>links to history, tourism inf</w:t>
      </w:r>
      <w:r w:rsidRPr="00630EFA">
        <w:t>ormation and other wineries</w:t>
      </w:r>
    </w:p>
    <w:p w:rsidR="00000000" w:rsidRPr="00630EFA" w:rsidP="00630EFA">
      <w:pPr>
        <w:pStyle w:val="ListBullet2"/>
      </w:pPr>
      <w:r w:rsidRPr="00630EFA">
        <w:t>workplace wine products and exports</w:t>
      </w:r>
    </w:p>
    <w:p w:rsidR="00000000" w:rsidRPr="00630EFA" w:rsidP="00630EFA">
      <w:pPr>
        <w:pStyle w:val="ListBullet2"/>
      </w:pPr>
      <w:r w:rsidRPr="00630EFA">
        <w:t xml:space="preserve">wine industry bodies and awards. </w:t>
      </w:r>
    </w:p>
    <w:p w:rsidR="00000000" w:rsidRPr="00630EFA" w:rsidP="00630EFA">
      <w:pPr>
        <w:pStyle w:val="AllowPageBreak"/>
      </w:pPr>
    </w:p>
    <w:p w:rsidR="00000000" w:rsidRPr="00630EFA" w:rsidP="00630EFA">
      <w:pPr>
        <w:pStyle w:val="Heading1"/>
      </w:pPr>
      <w:bookmarkStart w:id="3" w:name="O_994144"/>
      <w:bookmarkEnd w:id="3"/>
      <w:r w:rsidRPr="00630EFA">
        <w:t>Knowledge Evidence</w:t>
      </w:r>
    </w:p>
    <w:p w:rsidR="00000000" w:rsidRPr="00630EFA" w:rsidP="00C557EA">
      <w:pPr>
        <w:pStyle w:val="BodyText"/>
      </w:pPr>
      <w:r w:rsidRPr="00630EFA">
        <w:t>An individual must be able to demonstrate the knowledge required to perform the tasks outlined in the elements and perform</w:t>
      </w:r>
      <w:r w:rsidRPr="00630EFA">
        <w:t>ance criteria of this unit. This includes knowledge of:</w:t>
      </w:r>
    </w:p>
    <w:p w:rsidR="00000000" w:rsidRPr="00630EFA" w:rsidP="00630EFA">
      <w:pPr>
        <w:pStyle w:val="ListBullet"/>
      </w:pPr>
      <w:r w:rsidRPr="00630EFA">
        <w:t>brief history of Australian wine production:</w:t>
      </w:r>
    </w:p>
    <w:p w:rsidR="00000000" w:rsidRPr="00630EFA" w:rsidP="00630EFA">
      <w:pPr>
        <w:pStyle w:val="ListBullet2"/>
      </w:pPr>
      <w:r w:rsidRPr="00630EFA">
        <w:t>first planting of vines in Australia, including where and when</w:t>
      </w:r>
    </w:p>
    <w:p w:rsidR="00000000" w:rsidRPr="00630EFA" w:rsidP="00630EFA">
      <w:pPr>
        <w:pStyle w:val="ListBullet2"/>
      </w:pPr>
      <w:r w:rsidRPr="00630EFA">
        <w:t>key successes and challenges in wine industry development</w:t>
      </w:r>
    </w:p>
    <w:p w:rsidR="00000000" w:rsidRPr="00630EFA" w:rsidP="00630EFA">
      <w:pPr>
        <w:pStyle w:val="ListBullet2"/>
      </w:pPr>
      <w:r w:rsidRPr="00630EFA">
        <w:t>structure of the industry</w:t>
      </w:r>
    </w:p>
    <w:p w:rsidR="00000000" w:rsidRPr="00630EFA" w:rsidP="00630EFA">
      <w:pPr>
        <w:pStyle w:val="ListBullet2"/>
      </w:pPr>
      <w:r w:rsidRPr="00630EFA">
        <w:t>trends in styles produced</w:t>
      </w:r>
    </w:p>
    <w:p w:rsidR="00000000" w:rsidRPr="00630EFA" w:rsidP="00630EFA">
      <w:pPr>
        <w:pStyle w:val="ListBullet"/>
      </w:pPr>
      <w:r w:rsidRPr="00630EFA">
        <w:t>location and key distinguishing features of Australia’s main wine grape growing regions:</w:t>
      </w:r>
    </w:p>
    <w:p w:rsidR="00000000" w:rsidRPr="00630EFA" w:rsidP="00630EFA">
      <w:pPr>
        <w:pStyle w:val="ListBullet2"/>
      </w:pPr>
      <w:r w:rsidRPr="00630EFA">
        <w:t>climate and soil</w:t>
      </w:r>
    </w:p>
    <w:p w:rsidR="00000000" w:rsidRPr="00630EFA" w:rsidP="00630EFA">
      <w:pPr>
        <w:pStyle w:val="ListBullet2"/>
      </w:pPr>
      <w:r w:rsidRPr="00630EFA">
        <w:t>grape varieties and wine styles</w:t>
      </w:r>
    </w:p>
    <w:p w:rsidR="00000000" w:rsidRPr="00630EFA" w:rsidP="00630EFA">
      <w:pPr>
        <w:pStyle w:val="ListBullet2"/>
      </w:pPr>
      <w:r w:rsidRPr="00630EFA">
        <w:t>specific viticultural and vinification techniques</w:t>
      </w:r>
    </w:p>
    <w:p w:rsidR="00000000" w:rsidRPr="00630EFA" w:rsidP="00630EFA">
      <w:pPr>
        <w:pStyle w:val="ListBullet2"/>
      </w:pPr>
      <w:r w:rsidRPr="00630EFA">
        <w:t>key brands</w:t>
      </w:r>
    </w:p>
    <w:p w:rsidR="00000000" w:rsidRPr="00630EFA" w:rsidP="00630EFA">
      <w:pPr>
        <w:pStyle w:val="ListBullet"/>
      </w:pPr>
      <w:r w:rsidRPr="00630EFA">
        <w:t>key features of local wine g</w:t>
      </w:r>
      <w:r w:rsidRPr="00630EFA">
        <w:t>rape growing region:</w:t>
      </w:r>
    </w:p>
    <w:p w:rsidR="00000000" w:rsidRPr="00630EFA" w:rsidP="00630EFA">
      <w:pPr>
        <w:pStyle w:val="ListBullet2"/>
      </w:pPr>
      <w:r w:rsidRPr="00630EFA">
        <w:t>climate</w:t>
      </w:r>
    </w:p>
    <w:p w:rsidR="00000000" w:rsidRPr="00630EFA" w:rsidP="00630EFA">
      <w:pPr>
        <w:pStyle w:val="ListBullet2"/>
      </w:pPr>
      <w:r w:rsidRPr="00630EFA">
        <w:t>soil</w:t>
      </w:r>
    </w:p>
    <w:p w:rsidR="00000000" w:rsidRPr="00630EFA" w:rsidP="00630EFA">
      <w:pPr>
        <w:pStyle w:val="ListBullet2"/>
      </w:pPr>
      <w:r w:rsidRPr="00630EFA">
        <w:t>grape varieties</w:t>
      </w:r>
    </w:p>
    <w:p w:rsidR="00000000" w:rsidRPr="00630EFA" w:rsidP="00630EFA">
      <w:pPr>
        <w:pStyle w:val="ListBullet2"/>
      </w:pPr>
      <w:r w:rsidRPr="00630EFA">
        <w:t>wine styles</w:t>
      </w:r>
    </w:p>
    <w:p w:rsidR="00000000" w:rsidRPr="00630EFA" w:rsidP="00630EFA">
      <w:pPr>
        <w:pStyle w:val="ListBullet2"/>
      </w:pPr>
      <w:r w:rsidRPr="00630EFA">
        <w:t>specific viticultural and vinification techniques</w:t>
      </w:r>
    </w:p>
    <w:p w:rsidR="00000000" w:rsidRPr="00630EFA" w:rsidP="00630EFA">
      <w:pPr>
        <w:pStyle w:val="ListBullet2"/>
      </w:pPr>
      <w:r w:rsidRPr="00630EFA">
        <w:t>key brands</w:t>
      </w:r>
    </w:p>
    <w:p w:rsidR="00000000" w:rsidRPr="00630EFA" w:rsidP="00630EFA">
      <w:pPr>
        <w:pStyle w:val="ListBullet"/>
      </w:pPr>
      <w:r w:rsidRPr="00630EFA">
        <w:t>position of Australian wine in the world market:</w:t>
      </w:r>
    </w:p>
    <w:p w:rsidR="00000000" w:rsidRPr="00630EFA" w:rsidP="00630EFA">
      <w:pPr>
        <w:pStyle w:val="ListBullet2"/>
      </w:pPr>
      <w:r w:rsidRPr="00630EFA">
        <w:t>quantity and value of Australian exports</w:t>
      </w:r>
    </w:p>
    <w:p w:rsidR="00000000" w:rsidRPr="00630EFA" w:rsidP="00630EFA">
      <w:pPr>
        <w:pStyle w:val="ListBullet2"/>
      </w:pPr>
      <w:r w:rsidRPr="00630EFA">
        <w:t>major importers of Australian wine</w:t>
      </w:r>
    </w:p>
    <w:p w:rsidR="00000000" w:rsidRPr="00630EFA" w:rsidP="00630EFA">
      <w:pPr>
        <w:pStyle w:val="ListBullet2"/>
      </w:pPr>
      <w:r w:rsidRPr="00630EFA">
        <w:t>key brands exported</w:t>
      </w:r>
    </w:p>
    <w:p w:rsidR="00000000" w:rsidRPr="00630EFA" w:rsidP="00630EFA">
      <w:pPr>
        <w:pStyle w:val="ListBullet2"/>
      </w:pPr>
      <w:r w:rsidRPr="00630EFA">
        <w:t>label interpretation and Australian wine label integrity program</w:t>
      </w:r>
    </w:p>
    <w:p w:rsidR="00000000" w:rsidRPr="00630EFA" w:rsidP="00630EFA">
      <w:pPr>
        <w:pStyle w:val="ListBullet"/>
      </w:pPr>
      <w:r w:rsidRPr="00630EFA">
        <w:t>the threat of phylloxera to the Australian wine industry:</w:t>
      </w:r>
    </w:p>
    <w:p w:rsidR="00000000" w:rsidRPr="00630EFA" w:rsidP="00630EFA">
      <w:pPr>
        <w:pStyle w:val="ListBullet2"/>
      </w:pPr>
      <w:r w:rsidRPr="00630EFA">
        <w:t>quarantine areas</w:t>
      </w:r>
    </w:p>
    <w:p w:rsidR="00000000" w:rsidRPr="00630EFA" w:rsidP="00630EFA">
      <w:pPr>
        <w:pStyle w:val="ListBullet2"/>
      </w:pPr>
      <w:r w:rsidRPr="00630EFA">
        <w:t>effect of phylloxera on vine and wine</w:t>
      </w:r>
    </w:p>
    <w:p w:rsidR="00000000" w:rsidRPr="00630EFA" w:rsidP="00630EFA">
      <w:pPr>
        <w:pStyle w:val="ListBullet2"/>
      </w:pPr>
      <w:r w:rsidRPr="00630EFA">
        <w:t xml:space="preserve">steps winery and vineyard visitors can take to minimise </w:t>
      </w:r>
      <w:r w:rsidRPr="00630EFA">
        <w:t>risk of transferring infection</w:t>
      </w:r>
    </w:p>
    <w:p w:rsidR="00000000" w:rsidRPr="00630EFA" w:rsidP="00630EFA">
      <w:pPr>
        <w:pStyle w:val="ListBullet"/>
      </w:pPr>
      <w:r w:rsidRPr="00630EFA">
        <w:t>regional and local information:</w:t>
      </w:r>
    </w:p>
    <w:p w:rsidR="00000000" w:rsidRPr="00630EFA" w:rsidP="00630EFA">
      <w:pPr>
        <w:pStyle w:val="ListBullet2"/>
      </w:pPr>
      <w:r w:rsidRPr="00630EFA">
        <w:t>overview of history</w:t>
      </w:r>
    </w:p>
    <w:p w:rsidR="00000000" w:rsidRPr="00630EFA" w:rsidP="00630EFA">
      <w:pPr>
        <w:pStyle w:val="ListBullet2"/>
      </w:pPr>
      <w:r w:rsidRPr="00630EFA">
        <w:t>local events</w:t>
      </w:r>
    </w:p>
    <w:p w:rsidR="00000000" w:rsidRPr="00630EFA" w:rsidP="00630EFA">
      <w:pPr>
        <w:pStyle w:val="ListBullet2"/>
      </w:pPr>
      <w:r w:rsidRPr="00630EFA">
        <w:t>local attractions, facilities and essential services</w:t>
      </w:r>
    </w:p>
    <w:p w:rsidR="00000000" w:rsidRPr="00630EFA" w:rsidP="00630EFA">
      <w:pPr>
        <w:pStyle w:val="ListBullet"/>
      </w:pPr>
      <w:r w:rsidRPr="00630EFA">
        <w:t>key Australian wine industry bodies and their purpose</w:t>
      </w:r>
    </w:p>
    <w:p w:rsidR="00000000" w:rsidRPr="00630EFA" w:rsidP="00630EFA">
      <w:pPr>
        <w:pStyle w:val="ListBullet"/>
      </w:pPr>
      <w:r w:rsidRPr="00630EFA">
        <w:t>organisation information:</w:t>
      </w:r>
    </w:p>
    <w:p w:rsidR="00000000" w:rsidRPr="00630EFA" w:rsidP="00630EFA">
      <w:pPr>
        <w:pStyle w:val="ListBullet2"/>
      </w:pPr>
      <w:r w:rsidRPr="00630EFA">
        <w:t>history</w:t>
      </w:r>
    </w:p>
    <w:p w:rsidR="00000000" w:rsidRPr="00630EFA" w:rsidP="00630EFA">
      <w:pPr>
        <w:pStyle w:val="ListBullet2"/>
      </w:pPr>
      <w:r w:rsidRPr="00630EFA">
        <w:t>parent company or owners</w:t>
      </w:r>
    </w:p>
    <w:p w:rsidR="00000000" w:rsidRPr="00630EFA" w:rsidP="00630EFA">
      <w:pPr>
        <w:pStyle w:val="ListBullet2"/>
      </w:pPr>
      <w:r w:rsidRPr="00630EFA">
        <w:t>size and production capacity</w:t>
      </w:r>
    </w:p>
    <w:p w:rsidR="00000000" w:rsidRPr="00630EFA" w:rsidP="00630EFA">
      <w:pPr>
        <w:pStyle w:val="ListBullet2"/>
      </w:pPr>
      <w:r w:rsidRPr="00630EFA">
        <w:t>key brands</w:t>
      </w:r>
    </w:p>
    <w:p w:rsidR="00000000" w:rsidRPr="00630EFA" w:rsidP="00630EFA">
      <w:pPr>
        <w:pStyle w:val="ListBullet2"/>
      </w:pPr>
      <w:r w:rsidRPr="00630EFA">
        <w:t>product and service range</w:t>
      </w:r>
    </w:p>
    <w:p w:rsidR="00000000" w:rsidRPr="00630EFA" w:rsidP="00630EFA">
      <w:pPr>
        <w:pStyle w:val="ListBullet"/>
      </w:pPr>
      <w:r w:rsidRPr="00630EFA">
        <w:t>workplace policy and procedures with regard to:</w:t>
      </w:r>
    </w:p>
    <w:p w:rsidR="00000000" w:rsidRPr="00630EFA" w:rsidP="00630EFA">
      <w:pPr>
        <w:pStyle w:val="ListBullet2"/>
      </w:pPr>
      <w:r w:rsidRPr="00630EFA">
        <w:t>visitor service and interaction</w:t>
      </w:r>
    </w:p>
    <w:p w:rsidR="00000000" w:rsidRPr="00630EFA" w:rsidP="00630EFA">
      <w:pPr>
        <w:pStyle w:val="ListBullet2"/>
      </w:pPr>
      <w:r w:rsidRPr="00630EFA">
        <w:t>providing information and advice</w:t>
      </w:r>
    </w:p>
    <w:p w:rsidR="00000000" w:rsidRPr="00630EFA" w:rsidP="00630EFA">
      <w:pPr>
        <w:pStyle w:val="ListBullet2"/>
      </w:pPr>
      <w:r w:rsidRPr="00630EFA">
        <w:t>health and safety in the workplace hazards and con</w:t>
      </w:r>
      <w:r w:rsidRPr="00630EFA">
        <w:t>trols</w:t>
      </w:r>
    </w:p>
    <w:p w:rsidR="00000000" w:rsidRPr="00630EFA" w:rsidP="00630EFA">
      <w:pPr>
        <w:pStyle w:val="ListBullet2"/>
      </w:pPr>
      <w:r w:rsidRPr="00630EFA">
        <w:t>procedures and responsibility for reporting problems</w:t>
      </w:r>
    </w:p>
    <w:p w:rsidR="00000000" w:rsidRPr="00630EFA" w:rsidP="00630EFA">
      <w:pPr>
        <w:pStyle w:val="ListBullet"/>
      </w:pPr>
      <w:r w:rsidRPr="00630EFA">
        <w:t>effective presentation skills and techniques.</w:t>
      </w:r>
    </w:p>
    <w:p w:rsidR="00000000" w:rsidRPr="00630EFA" w:rsidP="00630EFA">
      <w:pPr>
        <w:pStyle w:val="AllowPageBreak"/>
      </w:pPr>
    </w:p>
    <w:p w:rsidR="00000000" w:rsidRPr="00630EFA" w:rsidP="00630EFA">
      <w:pPr>
        <w:pStyle w:val="Heading1"/>
      </w:pPr>
      <w:bookmarkStart w:id="4" w:name="O_994145"/>
      <w:bookmarkEnd w:id="4"/>
      <w:r w:rsidRPr="00630EFA">
        <w:t>Assessment Conditions</w:t>
      </w:r>
    </w:p>
    <w:p w:rsidR="00000000" w:rsidRPr="00630EFA" w:rsidP="00C557EA">
      <w:pPr>
        <w:pStyle w:val="BodyText"/>
      </w:pPr>
      <w:r w:rsidRPr="00630EFA">
        <w:t>Assessment of skills must take place under the following conditions:</w:t>
      </w:r>
    </w:p>
    <w:p w:rsidR="00000000" w:rsidRPr="00630EFA" w:rsidP="00630EFA">
      <w:pPr>
        <w:pStyle w:val="ListBullet"/>
      </w:pPr>
      <w:r w:rsidRPr="00630EFA">
        <w:t>physical conditions:</w:t>
      </w:r>
    </w:p>
    <w:p w:rsidR="00000000" w:rsidRPr="00630EFA" w:rsidP="00630EFA">
      <w:pPr>
        <w:pStyle w:val="ListBullet2"/>
      </w:pPr>
      <w:r w:rsidRPr="00630EFA">
        <w:t>a workplace or an environment that accurately represents workplace conditions</w:t>
      </w:r>
    </w:p>
    <w:p w:rsidR="00000000" w:rsidRPr="00630EFA" w:rsidP="00630EFA">
      <w:pPr>
        <w:pStyle w:val="ListBullet"/>
      </w:pPr>
      <w:r w:rsidRPr="00630EFA">
        <w:t>resources, equipment and materials:</w:t>
      </w:r>
    </w:p>
    <w:p w:rsidR="00000000" w:rsidRPr="00630EFA" w:rsidP="00630EFA">
      <w:pPr>
        <w:pStyle w:val="ListBullet2"/>
      </w:pPr>
      <w:r w:rsidRPr="00630EFA">
        <w:t>promotional information, materials, displays and/or equipment</w:t>
      </w:r>
    </w:p>
    <w:p w:rsidR="00000000" w:rsidRPr="00630EFA" w:rsidP="00630EFA">
      <w:pPr>
        <w:pStyle w:val="ListBullet2"/>
      </w:pPr>
      <w:r w:rsidRPr="00630EFA">
        <w:t>technology for accessing and presenting information</w:t>
      </w:r>
    </w:p>
    <w:p w:rsidR="00000000" w:rsidRPr="00630EFA" w:rsidP="00630EFA">
      <w:pPr>
        <w:pStyle w:val="ListBullet2"/>
      </w:pPr>
      <w:r w:rsidRPr="00630EFA">
        <w:t>aids and resources for eff</w:t>
      </w:r>
      <w:r w:rsidRPr="00630EFA">
        <w:t>ective presentations</w:t>
      </w:r>
    </w:p>
    <w:p w:rsidR="00000000" w:rsidRPr="00630EFA" w:rsidP="00630EFA">
      <w:pPr>
        <w:pStyle w:val="ListBullet"/>
      </w:pPr>
      <w:r w:rsidRPr="00630EFA">
        <w:t>specifications:</w:t>
      </w:r>
    </w:p>
    <w:p w:rsidR="00000000" w:rsidRPr="00630EFA" w:rsidP="00630EFA">
      <w:pPr>
        <w:pStyle w:val="ListBullet2"/>
      </w:pPr>
      <w:r w:rsidRPr="00630EFA">
        <w:t>work instructions and workplace procedures relating to promoting wine tourism information and dealing with visitors</w:t>
      </w:r>
    </w:p>
    <w:p w:rsidR="00000000" w:rsidRPr="00630EFA" w:rsidP="00630EFA">
      <w:pPr>
        <w:pStyle w:val="ListBullet"/>
      </w:pPr>
      <w:r w:rsidRPr="00630EFA">
        <w:t>relationships (internal and/or external):</w:t>
      </w:r>
    </w:p>
    <w:p w:rsidR="00000000" w:rsidRPr="00630EFA" w:rsidP="00630EFA">
      <w:pPr>
        <w:pStyle w:val="ListBullet2"/>
      </w:pPr>
      <w:r w:rsidRPr="00630EFA">
        <w:t>cellar door visitors for promotion activities.</w:t>
      </w:r>
    </w:p>
    <w:p w:rsidR="00000000" w:rsidRPr="00630EFA" w:rsidP="00630EFA">
      <w:pPr>
        <w:pStyle w:val="BodyText"/>
      </w:pPr>
    </w:p>
    <w:p w:rsidR="00000000" w:rsidRPr="00630EFA" w:rsidP="00C557EA">
      <w:pPr>
        <w:pStyle w:val="BodyText"/>
      </w:pPr>
      <w:r w:rsidRPr="00630EFA">
        <w:t>Assessors</w:t>
      </w:r>
      <w:r w:rsidRPr="00630EFA">
        <w:t xml:space="preserve"> of this unit must satisfy the requirements for assessors in applicable vocational education and training legislation, frameworks and/or standards.</w:t>
      </w:r>
    </w:p>
    <w:p w:rsidR="00000000" w:rsidRPr="00630EFA" w:rsidP="00630EFA">
      <w:pPr>
        <w:pStyle w:val="Heading1"/>
      </w:pPr>
      <w:bookmarkStart w:id="5" w:name="O_994153"/>
      <w:bookmarkEnd w:id="5"/>
      <w:r w:rsidRPr="00630EFA">
        <w:t>Links</w:t>
      </w:r>
    </w:p>
    <w:p w:rsidR="00000000" w:rsidRPr="00630EFA" w:rsidP="00C557EA">
      <w:pPr>
        <w:pStyle w:val="BodyText"/>
      </w:pPr>
      <w:r w:rsidRPr="00630EF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E1B9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0EFA" w:rsidP="00630EFA"/>
    <w:sectPr w:rsidSect="00630E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EFA" w:rsidRPr="00C557EA" w:rsidP="00C55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EA" w:rsidP="00630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7EA" w:rsidP="00630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57EA" w:rsidP="00630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EFA" w:rsidRPr="00C557EA" w:rsidP="00C55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EA" w:rsidRPr="002D2AF8" w:rsidP="00630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FBPCDS2002 Provide and present wine tourism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557EA" w:rsidP="00630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AAE6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744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F4A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EFA"/>
  </w:style>
  <w:style w:type="character" w:customStyle="1" w:styleId="Heading1Char">
    <w:name w:val="Heading 1 Char"/>
    <w:basedOn w:val="DefaultParagraphFont"/>
    <w:link w:val="Heading1"/>
    <w:rsid w:val="00630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E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E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E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EFA"/>
    <w:rPr>
      <w:b/>
      <w:spacing w:val="0"/>
    </w:rPr>
  </w:style>
  <w:style w:type="paragraph" w:styleId="ListBullet2">
    <w:name w:val="List Bullet 2"/>
    <w:basedOn w:val="List2"/>
    <w:rsid w:val="00630E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E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EFA"/>
    <w:rPr>
      <w:i/>
    </w:rPr>
  </w:style>
  <w:style w:type="paragraph" w:styleId="Caption">
    <w:name w:val="caption"/>
    <w:basedOn w:val="BodyText"/>
    <w:next w:val="Normal"/>
    <w:qFormat/>
    <w:rsid w:val="00630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EFA"/>
  </w:style>
  <w:style w:type="paragraph" w:styleId="TableofFigures">
    <w:name w:val="table of figures"/>
    <w:basedOn w:val="Normal"/>
    <w:next w:val="Normal"/>
    <w:semiHidden/>
    <w:rsid w:val="00630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E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EFA"/>
    <w:rPr>
      <w:rFonts w:ascii="Wingdings" w:hAnsi="Wingdings"/>
    </w:rPr>
  </w:style>
  <w:style w:type="paragraph" w:customStyle="1" w:styleId="TableHeading">
    <w:name w:val="Table Heading"/>
    <w:basedOn w:val="HeadingBase"/>
    <w:rsid w:val="00630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EFA"/>
    <w:rPr>
      <w:color w:val="0033CC"/>
      <w:u w:val="none"/>
    </w:rPr>
  </w:style>
  <w:style w:type="paragraph" w:customStyle="1" w:styleId="BodyTextRight">
    <w:name w:val="Body Text Right"/>
    <w:basedOn w:val="BodyText"/>
    <w:rsid w:val="00630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E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EFA"/>
    <w:rPr>
      <w:sz w:val="32"/>
    </w:rPr>
  </w:style>
  <w:style w:type="paragraph" w:customStyle="1" w:styleId="HeadingProcedure">
    <w:name w:val="Heading Procedure"/>
    <w:basedOn w:val="HeadingBase"/>
    <w:next w:val="Normal"/>
    <w:rsid w:val="00630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EFA"/>
    <w:pPr>
      <w:spacing w:before="60" w:after="60"/>
    </w:pPr>
  </w:style>
  <w:style w:type="paragraph" w:styleId="ListContinue">
    <w:name w:val="List Continue"/>
    <w:basedOn w:val="List"/>
    <w:rsid w:val="00630EFA"/>
    <w:pPr>
      <w:ind w:firstLine="0"/>
    </w:pPr>
  </w:style>
  <w:style w:type="paragraph" w:customStyle="1" w:styleId="ListNote">
    <w:name w:val="List Note"/>
    <w:basedOn w:val="List"/>
    <w:rsid w:val="00630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EFA"/>
    <w:rPr>
      <w:rFonts w:ascii="Courier New" w:hAnsi="Courier New"/>
    </w:rPr>
  </w:style>
  <w:style w:type="paragraph" w:customStyle="1" w:styleId="NoteBullet">
    <w:name w:val="Note Bullet"/>
    <w:basedOn w:val="Note"/>
    <w:rsid w:val="00630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E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EFA"/>
    <w:rPr>
      <w:b/>
      <w:smallCaps/>
    </w:rPr>
  </w:style>
  <w:style w:type="paragraph" w:customStyle="1" w:styleId="TableListNumber">
    <w:name w:val="Table List Number"/>
    <w:basedOn w:val="ListNumber"/>
    <w:rsid w:val="00630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EFA"/>
    <w:pPr>
      <w:numPr>
        <w:numId w:val="9"/>
      </w:numPr>
    </w:pPr>
  </w:style>
  <w:style w:type="paragraph" w:customStyle="1" w:styleId="ListAlpha2">
    <w:name w:val="List Alpha 2"/>
    <w:basedOn w:val="List2"/>
    <w:rsid w:val="00630EFA"/>
    <w:pPr>
      <w:numPr>
        <w:numId w:val="8"/>
      </w:numPr>
    </w:pPr>
  </w:style>
  <w:style w:type="paragraph" w:styleId="List2">
    <w:name w:val="List 2"/>
    <w:basedOn w:val="BodyText"/>
    <w:rsid w:val="00630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E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E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EFA"/>
    <w:pPr>
      <w:numPr>
        <w:numId w:val="4"/>
      </w:numPr>
    </w:pPr>
  </w:style>
  <w:style w:type="paragraph" w:styleId="ListContinue2">
    <w:name w:val="List Continue 2"/>
    <w:basedOn w:val="List2"/>
    <w:rsid w:val="00630EFA"/>
    <w:pPr>
      <w:ind w:firstLine="0"/>
    </w:pPr>
  </w:style>
  <w:style w:type="paragraph" w:styleId="ListContinue3">
    <w:name w:val="List Continue 3"/>
    <w:basedOn w:val="List3"/>
    <w:rsid w:val="00630EFA"/>
    <w:pPr>
      <w:ind w:left="1021" w:firstLine="0"/>
    </w:pPr>
  </w:style>
  <w:style w:type="paragraph" w:styleId="ListContinue4">
    <w:name w:val="List Continue 4"/>
    <w:basedOn w:val="List4"/>
    <w:rsid w:val="00630EFA"/>
    <w:pPr>
      <w:ind w:firstLine="0"/>
    </w:pPr>
  </w:style>
  <w:style w:type="paragraph" w:styleId="ListContinue5">
    <w:name w:val="List Continue 5"/>
    <w:basedOn w:val="List5"/>
    <w:rsid w:val="00630EFA"/>
    <w:pPr>
      <w:ind w:firstLine="0"/>
    </w:pPr>
  </w:style>
  <w:style w:type="paragraph" w:styleId="ListNumber3">
    <w:name w:val="List Number 3"/>
    <w:basedOn w:val="List3"/>
    <w:rsid w:val="00630EFA"/>
    <w:pPr>
      <w:numPr>
        <w:numId w:val="5"/>
      </w:numPr>
    </w:pPr>
  </w:style>
  <w:style w:type="paragraph" w:styleId="ListNumber4">
    <w:name w:val="List Number 4"/>
    <w:basedOn w:val="List4"/>
    <w:rsid w:val="00630EFA"/>
    <w:pPr>
      <w:numPr>
        <w:numId w:val="6"/>
      </w:numPr>
    </w:pPr>
  </w:style>
  <w:style w:type="paragraph" w:styleId="ListNumber5">
    <w:name w:val="List Number 5"/>
    <w:basedOn w:val="List5"/>
    <w:rsid w:val="00630EFA"/>
    <w:pPr>
      <w:numPr>
        <w:numId w:val="7"/>
      </w:numPr>
    </w:pPr>
  </w:style>
  <w:style w:type="paragraph" w:styleId="BlockText">
    <w:name w:val="Block Text"/>
    <w:basedOn w:val="Normal"/>
    <w:rsid w:val="00630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EFA"/>
    <w:rPr>
      <w:sz w:val="16"/>
      <w:vertAlign w:val="superscript"/>
    </w:rPr>
  </w:style>
  <w:style w:type="character" w:customStyle="1" w:styleId="Symbols">
    <w:name w:val="Symbols"/>
    <w:basedOn w:val="DefaultParagraphFont"/>
    <w:rsid w:val="00630EFA"/>
    <w:rPr>
      <w:rFonts w:ascii="Symbol" w:hAnsi="Symbol"/>
    </w:rPr>
  </w:style>
  <w:style w:type="character" w:customStyle="1" w:styleId="MenuOptions">
    <w:name w:val="Menu Options"/>
    <w:basedOn w:val="DefaultParagraphFont"/>
    <w:rsid w:val="00630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EFA"/>
    <w:rPr>
      <w:b/>
    </w:rPr>
  </w:style>
  <w:style w:type="character" w:customStyle="1" w:styleId="Underlined">
    <w:name w:val="Underlined"/>
    <w:basedOn w:val="DefaultParagraphFont"/>
    <w:rsid w:val="00630EFA"/>
    <w:rPr>
      <w:u w:val="single"/>
    </w:rPr>
  </w:style>
  <w:style w:type="paragraph" w:customStyle="1" w:styleId="TableBodyTextRight">
    <w:name w:val="Table Body Text Right"/>
    <w:basedOn w:val="TableBodyText"/>
    <w:rsid w:val="00630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EFA"/>
    <w:rPr>
      <w:sz w:val="18"/>
    </w:rPr>
  </w:style>
  <w:style w:type="paragraph" w:customStyle="1" w:styleId="BodySmallRight">
    <w:name w:val="Body Small Right"/>
    <w:basedOn w:val="BodyTextRight"/>
    <w:rsid w:val="00630EFA"/>
    <w:rPr>
      <w:sz w:val="18"/>
      <w:szCs w:val="18"/>
    </w:rPr>
  </w:style>
  <w:style w:type="paragraph" w:customStyle="1" w:styleId="MarginEdition">
    <w:name w:val="Margin Edition"/>
    <w:basedOn w:val="MarginNote"/>
    <w:rsid w:val="00630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EFA"/>
    <w:rPr>
      <w:sz w:val="2"/>
      <w:szCs w:val="2"/>
    </w:rPr>
  </w:style>
  <w:style w:type="character" w:customStyle="1" w:styleId="Small">
    <w:name w:val="Small"/>
    <w:basedOn w:val="DefaultParagraphFont"/>
    <w:rsid w:val="00630EFA"/>
    <w:rPr>
      <w:sz w:val="16"/>
    </w:rPr>
  </w:style>
  <w:style w:type="paragraph" w:customStyle="1" w:styleId="WideTable">
    <w:name w:val="Wide Table"/>
    <w:basedOn w:val="Normal"/>
    <w:rsid w:val="00630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EFA"/>
  </w:style>
  <w:style w:type="paragraph" w:styleId="Quote">
    <w:name w:val="Quote"/>
    <w:basedOn w:val="Heading1"/>
    <w:link w:val="QuoteChar"/>
    <w:qFormat/>
    <w:rsid w:val="00630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EFA"/>
    <w:pPr>
      <w:pageBreakBefore/>
    </w:pPr>
  </w:style>
  <w:style w:type="paragraph" w:customStyle="1" w:styleId="Border">
    <w:name w:val="Border"/>
    <w:basedOn w:val="Normal"/>
    <w:qFormat/>
    <w:rsid w:val="00630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EFA"/>
    <w:rPr>
      <w:u w:val="single"/>
    </w:rPr>
  </w:style>
  <w:style w:type="character" w:customStyle="1" w:styleId="BoldandItalics">
    <w:name w:val="Bold and Italics"/>
    <w:qFormat/>
    <w:rsid w:val="00630EFA"/>
    <w:rPr>
      <w:b/>
      <w:i/>
      <w:u w:val="none"/>
    </w:rPr>
  </w:style>
  <w:style w:type="paragraph" w:styleId="BalloonText">
    <w:name w:val="Balloon Text"/>
    <w:basedOn w:val="Normal"/>
    <w:link w:val="BalloonTextChar"/>
    <w:rsid w:val="00630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E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E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EFA"/>
    <w:pPr>
      <w:spacing w:before="0" w:after="0"/>
    </w:pPr>
  </w:style>
  <w:style w:type="paragraph" w:customStyle="1" w:styleId="BodyTextBold">
    <w:name w:val="Body Text Bold"/>
    <w:basedOn w:val="BodyText"/>
    <w:qFormat/>
    <w:rsid w:val="00630EFA"/>
    <w:rPr>
      <w:b/>
    </w:rPr>
  </w:style>
  <w:style w:type="character" w:styleId="Hyperlink">
    <w:name w:val="Hyperlink"/>
    <w:basedOn w:val="DefaultParagraphFont"/>
    <w:uiPriority w:val="99"/>
    <w:unhideWhenUsed/>
    <w:rsid w:val="00C55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3661</Characters>
  <Application>Microsoft Office Word</Application>
  <DocSecurity>0</DocSecurity>
  <Lines>104</Lines>
  <Paragraphs>97</Paragraphs>
  <ScaleCrop>false</ScaleCrop>
  <Company>Author-it Software Corporation Ltd.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FBPCDS2002 Provide and present wine tourism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2022-04-19T18:14:00Z</dcterms:created>
  <dcterms:modified xsi:type="dcterms:W3CDTF">2022-04-19T18:14:00Z</dcterms:modified>
</cp:coreProperties>
</file>