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A39" w:rsidP="00227A39">
      <w:pPr>
        <w:pStyle w:val="Title"/>
      </w:pPr>
      <w:r>
        <w:fldChar w:fldCharType="begin"/>
      </w:r>
      <w:r>
        <w:instrText xml:space="preserve"> TITLE   \* MERGEFORMAT </w:instrText>
      </w:r>
      <w:r>
        <w:fldChar w:fldCharType="separate"/>
      </w:r>
      <w:r>
        <w:t>FBPBPG3010 Operate and monitor a carbonated beverage filling process</w:t>
      </w:r>
      <w:r>
        <w:fldChar w:fldCharType="end"/>
      </w:r>
    </w:p>
    <w:p w:rsidR="00227A39" w:rsidP="00227A39">
      <w:pPr>
        <w:pStyle w:val="Version"/>
        <w:sectPr w:rsidSect="00BC1D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D94" w:rsidP="00BC1D94">
      <w:pPr>
        <w:pStyle w:val="SuperHeading"/>
      </w:pPr>
      <w:r w:rsidRPr="00BC1D94">
        <w:t>FBPBPG3010 Operate and monitor a carbonated beverage filling process</w:t>
      </w:r>
    </w:p>
    <w:p w:rsidR="00000000" w:rsidRPr="00BC1D94" w:rsidP="00BC1D94">
      <w:pPr>
        <w:pStyle w:val="Heading1"/>
      </w:pPr>
      <w:bookmarkStart w:id="1" w:name="O_1186332"/>
      <w:bookmarkEnd w:id="1"/>
      <w:r w:rsidRPr="00BC1D94">
        <w:t>Modification History</w:t>
      </w:r>
    </w:p>
    <w:tbl>
      <w:tblPr>
        <w:tblW w:w="9520" w:type="dxa"/>
        <w:tblLayout w:type="fixed"/>
        <w:tblCellMar>
          <w:left w:w="62" w:type="dxa"/>
          <w:right w:w="62" w:type="dxa"/>
        </w:tblCellMar>
        <w:tblLook w:val="0000"/>
      </w:tblPr>
      <w:tblGrid>
        <w:gridCol w:w="2580"/>
        <w:gridCol w:w="6940"/>
      </w:tblGrid>
      <w:tr w:rsidTr="00BC1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Comments</w:t>
            </w:r>
          </w:p>
        </w:tc>
      </w:tr>
      <w:tr w:rsidTr="00BC1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BodyText"/>
            </w:pPr>
            <w:r w:rsidRPr="00BC1D94">
              <w:t>This version released with FBP Food, Beverage and Pharmaceutical Training Package Version 6.0.</w:t>
            </w:r>
          </w:p>
        </w:tc>
      </w:tr>
    </w:tbl>
    <w:p w:rsidR="00000000" w:rsidRPr="00BC1D94" w:rsidP="00BC1D94">
      <w:pPr>
        <w:pStyle w:val="BodyText"/>
      </w:pPr>
    </w:p>
    <w:p w:rsidR="00000000" w:rsidRPr="00BC1D94" w:rsidP="00BC1D94">
      <w:pPr>
        <w:pStyle w:val="AllowPageBreak"/>
      </w:pPr>
    </w:p>
    <w:p w:rsidR="00000000" w:rsidRPr="00BC1D94" w:rsidP="00BC1D94">
      <w:pPr>
        <w:pStyle w:val="Heading1"/>
      </w:pPr>
      <w:bookmarkStart w:id="2" w:name="O_1186333"/>
      <w:bookmarkEnd w:id="2"/>
      <w:r w:rsidRPr="00BC1D94">
        <w:t>Application</w:t>
      </w:r>
    </w:p>
    <w:p w:rsidR="00000000" w:rsidRPr="00BC1D94" w:rsidP="00227A39">
      <w:pPr>
        <w:pStyle w:val="BodyText"/>
      </w:pPr>
      <w:r w:rsidRPr="00BC1D94">
        <w:t>This unit of competency describes the skills and knowledge required to set up, operate, adjust and shut down a filling process for a carbonated beverage, including carbonated water, juice and beer.</w:t>
      </w:r>
    </w:p>
    <w:p w:rsidR="00000000" w:rsidRPr="00BC1D94" w:rsidP="00227A39">
      <w:pPr>
        <w:pStyle w:val="BodyText"/>
      </w:pPr>
      <w:r w:rsidRPr="00BC1D94">
        <w:t>This unit applies to individuals who are respo</w:t>
      </w:r>
      <w:r w:rsidRPr="00BC1D94">
        <w:t xml:space="preserve">nsible for operating and monitoring a beverage filling process and associated services in a beverage processing environment. </w:t>
      </w:r>
    </w:p>
    <w:p w:rsidR="00000000" w:rsidRPr="00BC1D94" w:rsidP="00227A39">
      <w:pPr>
        <w:pStyle w:val="BodyText"/>
      </w:pPr>
      <w:r w:rsidRPr="00BC1D94">
        <w:t>All work must be carried out to comply with workplace procedures, in accordance with state/territory health and safety and food sa</w:t>
      </w:r>
      <w:r w:rsidRPr="00BC1D94">
        <w:t>fety regulations, legislation and standards that apply to the workplace.</w:t>
      </w:r>
    </w:p>
    <w:p w:rsidR="00000000" w:rsidRPr="00BC1D94" w:rsidP="00227A39">
      <w:pPr>
        <w:pStyle w:val="BodyText"/>
      </w:pPr>
      <w:r w:rsidRPr="00BC1D94">
        <w:t>No licensing, legislative or certification requirements apply to this unit at the time of publication.</w:t>
      </w:r>
    </w:p>
    <w:p w:rsidR="00000000" w:rsidRPr="00BC1D94" w:rsidP="00BC1D94">
      <w:pPr>
        <w:pStyle w:val="Heading1"/>
      </w:pPr>
      <w:bookmarkStart w:id="3" w:name="O_1186334"/>
      <w:bookmarkEnd w:id="3"/>
      <w:r w:rsidRPr="00BC1D94">
        <w:t>Pre-requisite Unit</w:t>
      </w:r>
    </w:p>
    <w:p w:rsidR="00000000" w:rsidRPr="00BC1D94" w:rsidP="00227A39">
      <w:pPr>
        <w:pStyle w:val="BodyText"/>
      </w:pPr>
      <w:r w:rsidRPr="00BC1D94">
        <w:t>Nil</w:t>
      </w:r>
    </w:p>
    <w:p w:rsidR="00000000" w:rsidRPr="00BC1D94" w:rsidP="00BC1D94">
      <w:pPr>
        <w:pStyle w:val="Heading1"/>
      </w:pPr>
      <w:bookmarkStart w:id="4" w:name="O_1186336"/>
      <w:bookmarkEnd w:id="4"/>
      <w:r w:rsidRPr="00BC1D94">
        <w:t>Unit Sector</w:t>
      </w:r>
    </w:p>
    <w:p w:rsidR="00000000" w:rsidRPr="00BC1D94" w:rsidP="00227A39">
      <w:pPr>
        <w:pStyle w:val="BodyText"/>
      </w:pPr>
      <w:r w:rsidRPr="00BC1D94">
        <w:t>Bottlin</w:t>
      </w:r>
      <w:r w:rsidRPr="00BC1D94">
        <w:t>g and Packaging (BPG)</w:t>
      </w:r>
    </w:p>
    <w:p w:rsidR="00000000" w:rsidRPr="00BC1D94" w:rsidP="00BC1D94">
      <w:pPr>
        <w:pStyle w:val="Heading1"/>
      </w:pPr>
      <w:bookmarkStart w:id="5" w:name="O_1186337"/>
      <w:bookmarkEnd w:id="5"/>
      <w:r w:rsidRPr="00BC1D94">
        <w:t>Elements and Performance Criteria</w:t>
      </w:r>
    </w:p>
    <w:tbl>
      <w:tblPr>
        <w:tblW w:w="9520" w:type="dxa"/>
        <w:tblLayout w:type="fixed"/>
        <w:tblCellMar>
          <w:left w:w="62" w:type="dxa"/>
          <w:right w:w="62" w:type="dxa"/>
        </w:tblCellMar>
        <w:tblLook w:val="0000"/>
      </w:tblPr>
      <w:tblGrid>
        <w:gridCol w:w="2580"/>
        <w:gridCol w:w="6940"/>
      </w:tblGrid>
      <w:tr w:rsidTr="00227A3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1D94">
            <w:pPr>
              <w:pStyle w:val="BodyTextBold"/>
              <w:rPr>
                <w:lang w:val="en-NZ"/>
              </w:rPr>
            </w:pPr>
            <w:r w:rsidRPr="00BC1D9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1D94">
            <w:pPr>
              <w:pStyle w:val="BodyTextBold"/>
              <w:rPr>
                <w:lang w:val="en-NZ"/>
              </w:rPr>
            </w:pPr>
            <w:r w:rsidRPr="00BC1D94">
              <w:t>Performance Criteria</w:t>
            </w:r>
          </w:p>
        </w:tc>
      </w:tr>
      <w:tr w:rsidTr="00227A3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BodyText"/>
            </w:pPr>
            <w:r w:rsidRPr="00BC1D9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rPr>
                <w:rStyle w:val="Emphasis"/>
              </w:rPr>
              <w:t>Performance criteria describe the performance needed to demonstrate achievement of the element.</w:t>
            </w:r>
          </w:p>
        </w:tc>
      </w:tr>
      <w:tr w:rsidTr="00227A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 xml:space="preserve">1. Prepare for filling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BodyText"/>
            </w:pPr>
            <w:r w:rsidRPr="00BC1D94">
              <w:t>1.1 Identify and confirm beverage carbonation and filling requirements</w:t>
            </w:r>
          </w:p>
          <w:p w:rsidR="00000000" w:rsidRPr="00BC1D94" w:rsidP="00BC1D94">
            <w:pPr>
              <w:pStyle w:val="BodyText"/>
            </w:pPr>
            <w:r w:rsidRPr="00BC1D94">
              <w:t>1.2 Confirm availability of required product, containers and services to meet filling requirements</w:t>
            </w:r>
          </w:p>
          <w:p w:rsidR="00000000" w:rsidRPr="00BC1D94" w:rsidP="00BC1D94">
            <w:pPr>
              <w:pStyle w:val="BodyText"/>
            </w:pPr>
            <w:r w:rsidRPr="00BC1D94">
              <w:t>1.3 Identify health, safety and food safety hazards, and contr</w:t>
            </w:r>
            <w:r w:rsidRPr="00BC1D94">
              <w:t>ol risks associated with carbonation and filling</w:t>
            </w:r>
          </w:p>
          <w:p w:rsidR="00000000" w:rsidRPr="00BC1D94" w:rsidP="00BC1D94">
            <w:pPr>
              <w:pStyle w:val="BodyText"/>
            </w:pPr>
            <w:r w:rsidRPr="00BC1D94">
              <w:t>1.4 Wear appropriate personal protective equipment and clothing, and ensure correct fit</w:t>
            </w:r>
          </w:p>
          <w:p w:rsidR="00000000" w:rsidP="00BC1D94">
            <w:pPr>
              <w:pStyle w:val="BodyText"/>
              <w:rPr>
                <w:lang w:val="en-NZ"/>
              </w:rPr>
            </w:pPr>
            <w:r w:rsidRPr="00BC1D94">
              <w:t>1.5 Maintain the work area to comply with good manufacturing practices (GMP)</w:t>
            </w:r>
          </w:p>
        </w:tc>
      </w:tr>
      <w:tr w:rsidTr="00227A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2. Carbonate beverage in preparation for filling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BodyText"/>
            </w:pPr>
            <w:r w:rsidRPr="00BC1D94">
              <w:t>2.1 Carry out pre-start checks of equipment and product</w:t>
            </w:r>
          </w:p>
          <w:p w:rsidR="00000000" w:rsidRPr="00BC1D94" w:rsidP="00BC1D94">
            <w:pPr>
              <w:pStyle w:val="BodyText"/>
            </w:pPr>
            <w:r w:rsidRPr="00BC1D94">
              <w:t>2.2 Start up equipment and carbonate product to specification</w:t>
            </w:r>
          </w:p>
          <w:p w:rsidR="00000000" w:rsidRPr="00BC1D94" w:rsidP="00BC1D94">
            <w:pPr>
              <w:pStyle w:val="BodyText"/>
            </w:pPr>
            <w:r w:rsidRPr="00BC1D94">
              <w:t>2.3 Add additional ingredients as required, and record for traceability</w:t>
            </w:r>
          </w:p>
          <w:p w:rsidR="00000000" w:rsidRPr="00BC1D94" w:rsidP="00BC1D94">
            <w:pPr>
              <w:pStyle w:val="BodyText"/>
            </w:pPr>
            <w:r w:rsidRPr="00BC1D94">
              <w:t>2.4 Monitor level</w:t>
            </w:r>
            <w:r w:rsidRPr="00BC1D94">
              <w:t>s of carbon dioxide and dissolved oxygen</w:t>
            </w:r>
          </w:p>
          <w:p w:rsidR="00000000" w:rsidRPr="00BC1D94" w:rsidP="00BC1D94">
            <w:pPr>
              <w:pStyle w:val="BodyText"/>
            </w:pPr>
            <w:r w:rsidRPr="00BC1D94">
              <w:t>2.5 Monitor equipment to identify any variation in operation, and adjust to ensure optimal performance</w:t>
            </w:r>
          </w:p>
          <w:p w:rsidR="00000000" w:rsidP="00BC1D94">
            <w:pPr>
              <w:pStyle w:val="BodyText"/>
              <w:rPr>
                <w:lang w:val="en-NZ"/>
              </w:rPr>
            </w:pPr>
            <w:r w:rsidRPr="00BC1D94">
              <w:t xml:space="preserve">2.6 Sample beverage to ensure product specifications are met </w:t>
            </w:r>
          </w:p>
        </w:tc>
      </w:tr>
      <w:tr w:rsidTr="00227A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 xml:space="preserve">3. Operate and monitor filling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BodyText"/>
            </w:pPr>
            <w:r w:rsidRPr="00BC1D94">
              <w:t>3.1 Carry out pre</w:t>
            </w:r>
            <w:r w:rsidRPr="00BC1D94">
              <w:t>-start checks of filling equipment and product</w:t>
            </w:r>
          </w:p>
          <w:p w:rsidR="00000000" w:rsidRPr="00BC1D94" w:rsidP="00BC1D94">
            <w:pPr>
              <w:pStyle w:val="BodyText"/>
            </w:pPr>
            <w:r w:rsidRPr="00BC1D94">
              <w:t>3.2 Check containers against production order and container specifications</w:t>
            </w:r>
          </w:p>
          <w:p w:rsidR="00000000" w:rsidRPr="00BC1D94" w:rsidP="00BC1D94">
            <w:pPr>
              <w:pStyle w:val="BodyText"/>
            </w:pPr>
            <w:r w:rsidRPr="00BC1D94">
              <w:t>3.3 Start equipment and fill containers to specification</w:t>
            </w:r>
          </w:p>
          <w:p w:rsidR="00000000" w:rsidRPr="00BC1D94" w:rsidP="00BC1D94">
            <w:pPr>
              <w:pStyle w:val="BodyText"/>
            </w:pPr>
            <w:r w:rsidRPr="00BC1D94">
              <w:t>3.4 Maintain stock flow to and from filler process within production requirem</w:t>
            </w:r>
            <w:r w:rsidRPr="00BC1D94">
              <w:t xml:space="preserve">ents </w:t>
            </w:r>
          </w:p>
          <w:p w:rsidR="00000000" w:rsidRPr="00BC1D94" w:rsidP="00BC1D94">
            <w:pPr>
              <w:pStyle w:val="BodyText"/>
            </w:pPr>
            <w:r w:rsidRPr="00BC1D94">
              <w:t>3.5 Monitor fill levels and container seals to ensure product meets specification</w:t>
            </w:r>
          </w:p>
          <w:p w:rsidR="00000000" w:rsidRPr="00BC1D94" w:rsidP="00BC1D94">
            <w:pPr>
              <w:pStyle w:val="BodyText"/>
            </w:pPr>
            <w:r w:rsidRPr="00BC1D94">
              <w:t>3.6 Monitor equipment to identify any variation in operation, and adjust to ensure optimal performance</w:t>
            </w:r>
          </w:p>
          <w:p w:rsidR="00000000" w:rsidP="00BC1D94">
            <w:pPr>
              <w:pStyle w:val="BodyText"/>
              <w:rPr>
                <w:lang w:val="en-NZ"/>
              </w:rPr>
            </w:pPr>
            <w:r w:rsidRPr="00BC1D94">
              <w:t>3.7 Pasteurise product as required of product specification</w:t>
            </w:r>
          </w:p>
        </w:tc>
      </w:tr>
      <w:tr w:rsidTr="00227A39">
        <w:tblPrEx>
          <w:tblW w:w="9520" w:type="dxa"/>
          <w:tblLayout w:type="fixed"/>
          <w:tblCellMar>
            <w:left w:w="62" w:type="dxa"/>
            <w:right w:w="62" w:type="dxa"/>
          </w:tblCellMar>
          <w:tblLook w:val="0000"/>
        </w:tblPrEx>
        <w:trPr>
          <w:trHeight w:val="33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4. S</w:t>
            </w:r>
            <w:r w:rsidRPr="00BC1D94">
              <w:t>hut down equipment and conduct housekeeping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BodyText"/>
            </w:pPr>
            <w:r w:rsidRPr="00BC1D94">
              <w:t>4.1 Shut down equipment according to safe work procedures</w:t>
            </w:r>
          </w:p>
          <w:p w:rsidR="00000000" w:rsidRPr="00BC1D94" w:rsidP="00BC1D94">
            <w:pPr>
              <w:pStyle w:val="BodyText"/>
            </w:pPr>
            <w:r w:rsidRPr="00BC1D94">
              <w:t>4.2 Clean and maintain equipment to meet cleaning schedules and procedural requirements</w:t>
            </w:r>
          </w:p>
          <w:p w:rsidR="00000000" w:rsidRPr="00BC1D94" w:rsidP="00BC1D94">
            <w:pPr>
              <w:pStyle w:val="BodyText"/>
            </w:pPr>
            <w:r w:rsidRPr="00BC1D94">
              <w:t>4.3 Collect, treat and dispose of or recycle waste generated by both the process and cleaning procedures</w:t>
            </w:r>
          </w:p>
          <w:p w:rsidR="00000000" w:rsidRPr="00BC1D94" w:rsidP="00BC1D94">
            <w:pPr>
              <w:pStyle w:val="BodyText"/>
            </w:pPr>
            <w:r w:rsidRPr="00BC1D94">
              <w:t>4.4 Record filling activity to meet workplace and regulatory requirements</w:t>
            </w:r>
          </w:p>
        </w:tc>
      </w:tr>
    </w:tbl>
    <w:p w:rsidR="00000000" w:rsidRPr="00BC1D94" w:rsidP="00BC1D94">
      <w:pPr>
        <w:pStyle w:val="BodyText"/>
      </w:pPr>
    </w:p>
    <w:p w:rsidR="00000000" w:rsidRPr="00BC1D94" w:rsidP="00BC1D94">
      <w:pPr>
        <w:pStyle w:val="AllowPageBreak"/>
      </w:pPr>
    </w:p>
    <w:p w:rsidR="00000000" w:rsidRPr="00BC1D94" w:rsidP="00BC1D94">
      <w:pPr>
        <w:pStyle w:val="Heading1"/>
      </w:pPr>
      <w:bookmarkStart w:id="6" w:name="O_1186338"/>
      <w:bookmarkEnd w:id="6"/>
      <w:r w:rsidRPr="00BC1D94">
        <w:t>Foundation Skills</w:t>
      </w:r>
    </w:p>
    <w:p w:rsidR="00000000" w:rsidRPr="00227A39" w:rsidP="00227A39">
      <w:pPr>
        <w:pStyle w:val="BodyText"/>
        <w:rPr>
          <w:i/>
        </w:rPr>
      </w:pPr>
      <w:r w:rsidRPr="00227A39">
        <w:rPr>
          <w:rStyle w:val="Emphasis"/>
        </w:rPr>
        <w:t>This section describes those language,</w:t>
      </w:r>
      <w:r w:rsidRPr="00227A39">
        <w:rPr>
          <w:rStyle w:val="Emphasis"/>
        </w:rPr>
        <w:t xml:space="preserv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C1D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Description</w:t>
            </w:r>
          </w:p>
        </w:tc>
      </w:tr>
      <w:tr w:rsidTr="00BC1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ListBullet"/>
            </w:pPr>
            <w:r w:rsidRPr="00BC1D94">
              <w:t>Interpret directions for the safe operation of equipment</w:t>
            </w:r>
          </w:p>
          <w:p w:rsidR="00000000" w:rsidP="00BC1D94">
            <w:pPr>
              <w:pStyle w:val="ListBullet"/>
              <w:rPr>
                <w:lang w:val="en-NZ"/>
              </w:rPr>
            </w:pPr>
            <w:r w:rsidRPr="00BC1D94">
              <w:t>Operate equipment using digital interface</w:t>
            </w:r>
          </w:p>
        </w:tc>
      </w:tr>
      <w:tr w:rsidTr="00BC1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ListBullet"/>
              <w:rPr>
                <w:lang w:val="en-NZ"/>
              </w:rPr>
            </w:pPr>
            <w:r w:rsidRPr="00BC1D94">
              <w:t>Record product and processing information using digital and/or paper-based formats</w:t>
            </w:r>
          </w:p>
        </w:tc>
      </w:tr>
      <w:tr w:rsidTr="00BC1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ListBullet"/>
            </w:pPr>
            <w:r w:rsidRPr="00BC1D94">
              <w:t>Monitor and interpret production and process control indicators and data</w:t>
            </w:r>
          </w:p>
          <w:p w:rsidR="00000000" w:rsidRPr="00BC1D94" w:rsidP="00BC1D94">
            <w:pPr>
              <w:pStyle w:val="ListBullet"/>
            </w:pPr>
            <w:r w:rsidRPr="00BC1D94">
              <w:t xml:space="preserve">Monitor supply and flow of materials </w:t>
            </w:r>
            <w:r w:rsidRPr="00BC1D94">
              <w:t>to and from the process</w:t>
            </w:r>
          </w:p>
          <w:p w:rsidR="00000000" w:rsidRPr="00BC1D94" w:rsidP="00BC1D94">
            <w:pPr>
              <w:pStyle w:val="ListBullet"/>
            </w:pPr>
            <w:r w:rsidRPr="00BC1D94">
              <w:t>Measure volume of product (mL, L)</w:t>
            </w:r>
          </w:p>
        </w:tc>
      </w:tr>
    </w:tbl>
    <w:p w:rsidR="00000000" w:rsidRPr="00BC1D94" w:rsidP="00BC1D94">
      <w:pPr>
        <w:pStyle w:val="BodyText"/>
      </w:pPr>
    </w:p>
    <w:p w:rsidR="00000000" w:rsidRPr="00BC1D94" w:rsidP="00BC1D94">
      <w:pPr>
        <w:pStyle w:val="AllowPageBreak"/>
      </w:pPr>
    </w:p>
    <w:p w:rsidR="00000000" w:rsidRPr="00BC1D94" w:rsidP="00BC1D94">
      <w:pPr>
        <w:pStyle w:val="Heading1"/>
      </w:pPr>
      <w:bookmarkStart w:id="7" w:name="O_1186340"/>
      <w:bookmarkEnd w:id="7"/>
      <w:r w:rsidRPr="00BC1D94">
        <w:t>Unit Mapping Information</w:t>
      </w:r>
    </w:p>
    <w:tbl>
      <w:tblPr>
        <w:tblW w:w="9520" w:type="dxa"/>
        <w:tblLayout w:type="fixed"/>
        <w:tblCellMar>
          <w:left w:w="62" w:type="dxa"/>
          <w:right w:w="62" w:type="dxa"/>
        </w:tblCellMar>
        <w:tblLook w:val="0000"/>
      </w:tblPr>
      <w:tblGrid>
        <w:gridCol w:w="2268"/>
        <w:gridCol w:w="2268"/>
        <w:gridCol w:w="2716"/>
        <w:gridCol w:w="2268"/>
      </w:tblGrid>
      <w:tr w:rsidTr="00BC1D9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Equivalence status</w:t>
            </w:r>
          </w:p>
        </w:tc>
      </w:tr>
      <w:tr w:rsidTr="00BC1D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FBPBPG3010 Operate and monitor a carbonated beverage filling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FBPOPR2005 Operate a beer filling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BodyText"/>
            </w:pPr>
            <w:r w:rsidRPr="00BC1D94">
              <w:t>Unit title and code updated to better match complexity of work task</w:t>
            </w:r>
          </w:p>
          <w:p w:rsidR="00000000" w:rsidRPr="00BC1D94" w:rsidP="00BC1D94">
            <w:pPr>
              <w:pStyle w:val="BodyText"/>
            </w:pPr>
            <w:r w:rsidRPr="00BC1D94">
              <w:t>References to beer removed for broader application</w:t>
            </w:r>
          </w:p>
          <w:p w:rsidR="00000000" w:rsidRPr="00BC1D94" w:rsidP="00BC1D94">
            <w:pPr>
              <w:pStyle w:val="BodyText"/>
            </w:pPr>
            <w:r w:rsidRPr="00BC1D94">
              <w:t>Element on carbonation add</w:t>
            </w:r>
            <w:r w:rsidRPr="00BC1D94">
              <w:t>ed</w:t>
            </w:r>
          </w:p>
          <w:p w:rsidR="00000000" w:rsidRPr="00BC1D94" w:rsidP="00BC1D94">
            <w:pPr>
              <w:pStyle w:val="BodyText"/>
            </w:pPr>
            <w:r w:rsidRPr="00BC1D94">
              <w:t>Minor changes to Performance Criteria to clarify task</w:t>
            </w:r>
          </w:p>
          <w:p w:rsidR="00000000" w:rsidRPr="00BC1D94" w:rsidP="00BC1D94">
            <w:pPr>
              <w:pStyle w:val="BodyText"/>
            </w:pPr>
            <w:r w:rsidRPr="00BC1D94">
              <w:t>Foundation Skills refined</w:t>
            </w:r>
          </w:p>
          <w:p w:rsidR="00000000" w:rsidRPr="00BC1D94" w:rsidP="00BC1D94">
            <w:pPr>
              <w:pStyle w:val="BodyText"/>
            </w:pPr>
            <w:r w:rsidRPr="00BC1D94">
              <w:t>Performance Evidence clarified</w:t>
            </w:r>
          </w:p>
          <w:p w:rsidR="00000000" w:rsidP="00BC1D94">
            <w:pPr>
              <w:pStyle w:val="BodyText"/>
              <w:rPr>
                <w:lang w:val="en-NZ"/>
              </w:rPr>
            </w:pPr>
            <w:r w:rsidRPr="00BC1D94">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BodyText"/>
            </w:pPr>
            <w:r w:rsidRPr="00BC1D94">
              <w:t>Not equivalent</w:t>
            </w:r>
          </w:p>
        </w:tc>
      </w:tr>
    </w:tbl>
    <w:p w:rsidR="00000000" w:rsidRPr="00BC1D94" w:rsidP="00BC1D94">
      <w:pPr>
        <w:pStyle w:val="BodyText"/>
      </w:pPr>
    </w:p>
    <w:p w:rsidR="00000000" w:rsidRPr="00BC1D94" w:rsidP="00BC1D94">
      <w:pPr>
        <w:pStyle w:val="AllowPageBreak"/>
      </w:pPr>
    </w:p>
    <w:p w:rsidR="00000000" w:rsidRPr="00BC1D94" w:rsidP="00BC1D94">
      <w:pPr>
        <w:pStyle w:val="Heading1"/>
      </w:pPr>
      <w:bookmarkStart w:id="8" w:name="O_1186347"/>
      <w:bookmarkEnd w:id="8"/>
      <w:r w:rsidRPr="00BC1D94">
        <w:t>Links</w:t>
      </w:r>
    </w:p>
    <w:p w:rsidR="00000000" w:rsidRPr="00BC1D94" w:rsidP="00227A39">
      <w:pPr>
        <w:pStyle w:val="BodyText"/>
      </w:pPr>
      <w:r w:rsidRPr="00BC1D9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90C1E">
        <w:rPr>
          <w:rStyle w:val="Hyperlink"/>
        </w:rPr>
        <w:t>https://vetnet.gov.au/Pages/TrainingDocs.aspx?q=78b15323-cd38-483e-aad7-1159b570a5c4</w:t>
      </w:r>
      <w:r>
        <w:fldChar w:fldCharType="end"/>
      </w:r>
    </w:p>
    <w:p w:rsidR="00000000" w:rsidRPr="00BC1D94" w:rsidP="00227A39">
      <w:pPr>
        <w:pStyle w:val="BodyText"/>
        <w:sectPr w:rsidSect="00BC1D94">
          <w:headerReference w:type="default" r:id="rId10"/>
          <w:footerReference w:type="default" r:id="rId11"/>
          <w:pgSz w:w="11908" w:h="16833"/>
          <w:pgMar w:top="1702" w:right="1418" w:bottom="1702" w:left="1418" w:header="992" w:footer="992" w:gutter="0"/>
          <w:cols w:space="720"/>
          <w:noEndnote/>
          <w:docGrid w:linePitch="299"/>
        </w:sectPr>
      </w:pPr>
    </w:p>
    <w:p w:rsidR="00000000" w:rsidRPr="00BC1D94" w:rsidP="00BC1D94">
      <w:pPr>
        <w:pStyle w:val="SuperHeading"/>
      </w:pPr>
      <w:r w:rsidRPr="00BC1D94">
        <w:t>Assessment Requirements for FBPBPG3010 Operat</w:t>
      </w:r>
      <w:r w:rsidRPr="00BC1D94">
        <w:t>e and monitor a carbonated beverage filling process</w:t>
      </w:r>
    </w:p>
    <w:p w:rsidR="00000000" w:rsidRPr="00BC1D94" w:rsidP="00BC1D94">
      <w:pPr>
        <w:pStyle w:val="Heading1"/>
      </w:pPr>
      <w:bookmarkStart w:id="9" w:name="O_1186342"/>
      <w:bookmarkEnd w:id="9"/>
      <w:r w:rsidRPr="00BC1D94">
        <w:t>Modification History</w:t>
      </w:r>
    </w:p>
    <w:tbl>
      <w:tblPr>
        <w:tblW w:w="9520" w:type="dxa"/>
        <w:tblLayout w:type="fixed"/>
        <w:tblCellMar>
          <w:left w:w="62" w:type="dxa"/>
          <w:right w:w="62" w:type="dxa"/>
        </w:tblCellMar>
        <w:tblLook w:val="0000"/>
      </w:tblPr>
      <w:tblGrid>
        <w:gridCol w:w="2580"/>
        <w:gridCol w:w="6940"/>
      </w:tblGrid>
      <w:tr w:rsidTr="00BC1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Bold"/>
              <w:rPr>
                <w:lang w:val="en-NZ"/>
              </w:rPr>
            </w:pPr>
            <w:r w:rsidRPr="00BC1D94">
              <w:t>Comments</w:t>
            </w:r>
          </w:p>
        </w:tc>
      </w:tr>
      <w:tr w:rsidTr="00BC1D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D94">
            <w:pPr>
              <w:pStyle w:val="BodyText"/>
              <w:rPr>
                <w:lang w:val="en-NZ"/>
              </w:rPr>
            </w:pPr>
            <w:r w:rsidRPr="00BC1D9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D94" w:rsidP="00BC1D94">
            <w:pPr>
              <w:pStyle w:val="BodyText"/>
            </w:pPr>
            <w:r w:rsidRPr="00BC1D94">
              <w:t>This version released with FBP Food, Beverage and Pharmaceutical Training Package Version 6.0.</w:t>
            </w:r>
          </w:p>
        </w:tc>
      </w:tr>
    </w:tbl>
    <w:p w:rsidR="00000000" w:rsidRPr="00BC1D94" w:rsidP="00BC1D94">
      <w:pPr>
        <w:pStyle w:val="BodyText"/>
      </w:pPr>
    </w:p>
    <w:p w:rsidR="00000000" w:rsidRPr="00BC1D94" w:rsidP="00BC1D94">
      <w:pPr>
        <w:pStyle w:val="AllowPageBreak"/>
      </w:pPr>
    </w:p>
    <w:p w:rsidR="00000000" w:rsidRPr="00BC1D94" w:rsidP="00BC1D94">
      <w:pPr>
        <w:pStyle w:val="Heading1"/>
      </w:pPr>
      <w:bookmarkStart w:id="10" w:name="O_1186343"/>
      <w:bookmarkEnd w:id="10"/>
      <w:r w:rsidRPr="00BC1D94">
        <w:t>Performance Evidence</w:t>
      </w:r>
    </w:p>
    <w:p w:rsidR="00000000" w:rsidRPr="00BC1D94" w:rsidP="00227A39">
      <w:pPr>
        <w:pStyle w:val="BodyText"/>
      </w:pPr>
      <w:r w:rsidRPr="00BC1D94">
        <w:t>An individual demonstrating competency must satisfy all of the elements and performance criteria in this unit.</w:t>
      </w:r>
    </w:p>
    <w:p w:rsidR="00000000" w:rsidRPr="00BC1D94" w:rsidP="00227A39">
      <w:pPr>
        <w:pStyle w:val="BodyText"/>
      </w:pPr>
      <w:r w:rsidRPr="00BC1D94">
        <w:t>There must be evidence that the individual has set up, operated, adjusted and shut down a filling process for at least one batch of carbonated be</w:t>
      </w:r>
      <w:r w:rsidRPr="00BC1D94">
        <w:t>verage, including:</w:t>
      </w:r>
    </w:p>
    <w:p w:rsidR="00000000" w:rsidRPr="00BC1D94" w:rsidP="00BC1D94">
      <w:pPr>
        <w:pStyle w:val="ListBullet"/>
      </w:pPr>
      <w:r w:rsidRPr="00BC1D94">
        <w:t>applying food safety procedures to work practices</w:t>
      </w:r>
    </w:p>
    <w:p w:rsidR="00000000" w:rsidRPr="00BC1D94" w:rsidP="00BC1D94">
      <w:pPr>
        <w:pStyle w:val="ListBullet"/>
      </w:pPr>
      <w:r w:rsidRPr="00BC1D94">
        <w:t>following safe work procedures</w:t>
      </w:r>
    </w:p>
    <w:p w:rsidR="00000000" w:rsidRPr="00BC1D94" w:rsidP="00BC1D94">
      <w:pPr>
        <w:pStyle w:val="ListBullet"/>
      </w:pPr>
      <w:r w:rsidRPr="00BC1D94">
        <w:t>clearing routine jams and rectifying routine problems.</w:t>
      </w:r>
    </w:p>
    <w:p w:rsidR="00000000" w:rsidRPr="00BC1D94" w:rsidP="00BC1D94">
      <w:pPr>
        <w:pStyle w:val="AllowPageBreak"/>
      </w:pPr>
    </w:p>
    <w:p w:rsidR="00000000" w:rsidRPr="00BC1D94" w:rsidP="00BC1D94">
      <w:pPr>
        <w:pStyle w:val="Heading1"/>
      </w:pPr>
      <w:bookmarkStart w:id="11" w:name="O_1186344"/>
      <w:bookmarkEnd w:id="11"/>
      <w:r w:rsidRPr="00BC1D94">
        <w:t>Knowledge Evidence</w:t>
      </w:r>
    </w:p>
    <w:p w:rsidR="00000000" w:rsidRPr="00BC1D94" w:rsidP="00227A39">
      <w:pPr>
        <w:pStyle w:val="BodyText"/>
      </w:pPr>
      <w:r w:rsidRPr="00BC1D94">
        <w:t>An individual must be able to demonstrate the knowledge required to perform the tasks outlined in the elements and performance criteria of this unit. This includes knowledge of:</w:t>
      </w:r>
    </w:p>
    <w:p w:rsidR="00000000" w:rsidRPr="00BC1D94" w:rsidP="00BC1D94">
      <w:pPr>
        <w:pStyle w:val="ListBullet"/>
      </w:pPr>
      <w:r w:rsidRPr="00BC1D94">
        <w:t>relationship between the filling process, production and packaging operations</w:t>
      </w:r>
    </w:p>
    <w:p w:rsidR="00000000" w:rsidRPr="00BC1D94" w:rsidP="00BC1D94">
      <w:pPr>
        <w:pStyle w:val="ListBullet"/>
      </w:pPr>
      <w:r w:rsidRPr="00BC1D94">
        <w:t>requirements of the filling process specific to product</w:t>
      </w:r>
    </w:p>
    <w:p w:rsidR="00000000" w:rsidRPr="00BC1D94" w:rsidP="00BC1D94">
      <w:pPr>
        <w:pStyle w:val="ListBullet"/>
      </w:pPr>
      <w:r w:rsidRPr="00BC1D94">
        <w:t>requirements of pre-start checks, including:</w:t>
      </w:r>
    </w:p>
    <w:p w:rsidR="00000000" w:rsidRPr="00BC1D94" w:rsidP="00BC1D94">
      <w:pPr>
        <w:pStyle w:val="ListBullet2"/>
      </w:pPr>
      <w:r w:rsidRPr="00BC1D94">
        <w:t>inspecting equipment condition to identify any signs of wear</w:t>
      </w:r>
    </w:p>
    <w:p w:rsidR="00000000" w:rsidRPr="00BC1D94" w:rsidP="00BC1D94">
      <w:pPr>
        <w:pStyle w:val="ListBullet2"/>
      </w:pPr>
      <w:r w:rsidRPr="00BC1D94">
        <w:t>selecting appropriate settings and/or related parameters</w:t>
      </w:r>
    </w:p>
    <w:p w:rsidR="00000000" w:rsidRPr="00BC1D94" w:rsidP="00BC1D94">
      <w:pPr>
        <w:pStyle w:val="ListBullet2"/>
      </w:pPr>
      <w:r w:rsidRPr="00BC1D94">
        <w:t>cancelling isolation or lock-outs</w:t>
      </w:r>
    </w:p>
    <w:p w:rsidR="00000000" w:rsidRPr="00BC1D94" w:rsidP="00BC1D94">
      <w:pPr>
        <w:pStyle w:val="ListBullet2"/>
      </w:pPr>
      <w:r w:rsidRPr="00BC1D94">
        <w:t>confirming that equipment is clean and correctly configured for processing requirements</w:t>
      </w:r>
    </w:p>
    <w:p w:rsidR="00000000" w:rsidRPr="00BC1D94" w:rsidP="00BC1D94">
      <w:pPr>
        <w:pStyle w:val="ListBullet2"/>
      </w:pPr>
      <w:r w:rsidRPr="00BC1D94">
        <w:t>positioning sensors and controls correctly</w:t>
      </w:r>
    </w:p>
    <w:p w:rsidR="00000000" w:rsidRPr="00BC1D94" w:rsidP="00BC1D94">
      <w:pPr>
        <w:pStyle w:val="ListBullet2"/>
      </w:pPr>
      <w:r w:rsidRPr="00BC1D94">
        <w:t>ensuring any scheduled maintenance has been carried out</w:t>
      </w:r>
    </w:p>
    <w:p w:rsidR="00000000" w:rsidRPr="00BC1D94" w:rsidP="00BC1D94">
      <w:pPr>
        <w:pStyle w:val="ListBullet2"/>
      </w:pPr>
      <w:r w:rsidRPr="00BC1D94">
        <w:t>confirming that all safety guards are in place and operational</w:t>
      </w:r>
    </w:p>
    <w:p w:rsidR="00000000" w:rsidRPr="00BC1D94" w:rsidP="00BC1D94">
      <w:pPr>
        <w:pStyle w:val="ListBullet"/>
      </w:pPr>
      <w:r w:rsidRPr="00BC1D94">
        <w:t>types</w:t>
      </w:r>
      <w:r w:rsidRPr="00BC1D94">
        <w:t xml:space="preserve"> of fillers used </w:t>
      </w:r>
    </w:p>
    <w:p w:rsidR="00000000" w:rsidRPr="00BC1D94" w:rsidP="00BC1D94">
      <w:pPr>
        <w:pStyle w:val="ListBullet"/>
      </w:pPr>
      <w:r w:rsidRPr="00BC1D94">
        <w:t>typical faults that occur and how they can be rectified, including:</w:t>
      </w:r>
    </w:p>
    <w:p w:rsidR="00000000" w:rsidRPr="00BC1D94" w:rsidP="00BC1D94">
      <w:pPr>
        <w:pStyle w:val="ListBullet2"/>
      </w:pPr>
      <w:r w:rsidRPr="00BC1D94">
        <w:t>flow rates/quantity</w:t>
      </w:r>
    </w:p>
    <w:p w:rsidR="00000000" w:rsidRPr="00BC1D94" w:rsidP="00BC1D94">
      <w:pPr>
        <w:pStyle w:val="ListBullet2"/>
      </w:pPr>
      <w:r w:rsidRPr="00BC1D94">
        <w:t>broken or faulty containers</w:t>
      </w:r>
    </w:p>
    <w:p w:rsidR="00000000" w:rsidRPr="00BC1D94" w:rsidP="00BC1D94">
      <w:pPr>
        <w:pStyle w:val="ListBullet2"/>
      </w:pPr>
      <w:r w:rsidRPr="00BC1D94">
        <w:t>contaminated product</w:t>
      </w:r>
    </w:p>
    <w:p w:rsidR="00000000" w:rsidRPr="00BC1D94" w:rsidP="00BC1D94">
      <w:pPr>
        <w:pStyle w:val="ListBullet2"/>
      </w:pPr>
      <w:r w:rsidRPr="00BC1D94">
        <w:t>equipment faults</w:t>
      </w:r>
    </w:p>
    <w:p w:rsidR="00000000" w:rsidRPr="00BC1D94" w:rsidP="00BC1D94">
      <w:pPr>
        <w:pStyle w:val="ListBullet2"/>
      </w:pPr>
      <w:r w:rsidRPr="00BC1D94">
        <w:t>services faults</w:t>
      </w:r>
    </w:p>
    <w:p w:rsidR="00000000" w:rsidRPr="00BC1D94" w:rsidP="00BC1D94">
      <w:pPr>
        <w:pStyle w:val="ListBullet"/>
      </w:pPr>
      <w:r w:rsidRPr="00BC1D94">
        <w:t>common microbiological, physical, chemical and allergen ha</w:t>
      </w:r>
      <w:r w:rsidRPr="00BC1D94">
        <w:t>zards related to the foods handled in the work area, including the types of hazards likely to occur, the conditions under which they occur, possible consequences, and control methods to prevent occurrence</w:t>
      </w:r>
    </w:p>
    <w:p w:rsidR="00000000" w:rsidRPr="00BC1D94" w:rsidP="00BC1D94">
      <w:pPr>
        <w:pStyle w:val="ListBullet"/>
      </w:pPr>
      <w:r w:rsidRPr="00BC1D94">
        <w:t>aseptic filling and sealing requirements</w:t>
      </w:r>
    </w:p>
    <w:p w:rsidR="00000000" w:rsidRPr="00BC1D94" w:rsidP="00BC1D94">
      <w:pPr>
        <w:pStyle w:val="ListBullet"/>
      </w:pPr>
      <w:r w:rsidRPr="00BC1D94">
        <w:t>contaminat</w:t>
      </w:r>
      <w:r w:rsidRPr="00BC1D94">
        <w:t>ion/cross-contamination and food safety risks associated with the filling process, and related control measures</w:t>
      </w:r>
    </w:p>
    <w:p w:rsidR="00000000" w:rsidRPr="00BC1D94" w:rsidP="00BC1D94">
      <w:pPr>
        <w:pStyle w:val="ListBullet"/>
      </w:pPr>
      <w:r w:rsidRPr="00BC1D94">
        <w:t>quality characteristics to be identified, including levels of dissolved oxygen and carbon dioxide</w:t>
      </w:r>
    </w:p>
    <w:p w:rsidR="00000000" w:rsidRPr="00BC1D94" w:rsidP="00BC1D94">
      <w:pPr>
        <w:pStyle w:val="ListBullet"/>
      </w:pPr>
      <w:r w:rsidRPr="00BC1D94">
        <w:t>process specifications, procedures and operati</w:t>
      </w:r>
      <w:r w:rsidRPr="00BC1D94">
        <w:t>ng parameters</w:t>
      </w:r>
    </w:p>
    <w:p w:rsidR="00000000" w:rsidRPr="00BC1D94" w:rsidP="00BC1D94">
      <w:pPr>
        <w:pStyle w:val="ListBullet"/>
      </w:pPr>
      <w:r w:rsidRPr="00BC1D94">
        <w:t>significance and methods of monitoring control points within the beverage filling process</w:t>
      </w:r>
    </w:p>
    <w:p w:rsidR="00000000" w:rsidRPr="00BC1D94" w:rsidP="00BC1D94">
      <w:pPr>
        <w:pStyle w:val="ListBullet"/>
      </w:pPr>
      <w:r w:rsidRPr="00BC1D94">
        <w:t xml:space="preserve">equipment and instrumentation used for filling </w:t>
      </w:r>
    </w:p>
    <w:p w:rsidR="00000000" w:rsidRPr="00BC1D94" w:rsidP="00BC1D94">
      <w:pPr>
        <w:pStyle w:val="ListBullet"/>
      </w:pPr>
      <w:r w:rsidRPr="00BC1D94">
        <w:t>services used in the filling process</w:t>
      </w:r>
    </w:p>
    <w:p w:rsidR="00000000" w:rsidRPr="00BC1D94" w:rsidP="00BC1D94">
      <w:pPr>
        <w:pStyle w:val="ListBullet"/>
      </w:pPr>
      <w:r w:rsidRPr="00BC1D94">
        <w:t>common causes of variation, and corrective action required</w:t>
      </w:r>
    </w:p>
    <w:p w:rsidR="00000000" w:rsidRPr="00BC1D94" w:rsidP="00BC1D94">
      <w:pPr>
        <w:pStyle w:val="ListBullet"/>
      </w:pPr>
      <w:r w:rsidRPr="00BC1D94">
        <w:t>good man</w:t>
      </w:r>
      <w:r w:rsidRPr="00BC1D94">
        <w:t>ufacturing practices (GMP) relevant to work task</w:t>
      </w:r>
    </w:p>
    <w:p w:rsidR="00000000" w:rsidRPr="00BC1D94" w:rsidP="00BC1D94">
      <w:pPr>
        <w:pStyle w:val="ListBullet"/>
      </w:pPr>
      <w:r w:rsidRPr="00BC1D94">
        <w:t>workplace procedures and responsibility for reporting problems</w:t>
      </w:r>
    </w:p>
    <w:p w:rsidR="00000000" w:rsidRPr="00BC1D94" w:rsidP="00BC1D94">
      <w:pPr>
        <w:pStyle w:val="ListBullet"/>
      </w:pPr>
      <w:r w:rsidRPr="00BC1D94">
        <w:t>shutdown and cleaning requirements associated with changeovers, and types of shutdowns</w:t>
      </w:r>
    </w:p>
    <w:p w:rsidR="00000000" w:rsidRPr="00BC1D94" w:rsidP="00BC1D94">
      <w:pPr>
        <w:pStyle w:val="ListBullet"/>
      </w:pPr>
      <w:r w:rsidRPr="00BC1D94">
        <w:t>waste handling requirements and procedures relevant to the filling process</w:t>
      </w:r>
    </w:p>
    <w:p w:rsidR="00000000" w:rsidRPr="00BC1D94" w:rsidP="00BC1D94">
      <w:pPr>
        <w:pStyle w:val="ListBullet"/>
      </w:pPr>
      <w:r w:rsidRPr="00BC1D94">
        <w:t>recording requirements and procedures, including down time</w:t>
      </w:r>
    </w:p>
    <w:p w:rsidR="00000000" w:rsidRPr="00BC1D94" w:rsidP="00BC1D94">
      <w:pPr>
        <w:pStyle w:val="ListBullet"/>
      </w:pPr>
      <w:r w:rsidRPr="00BC1D94">
        <w:t>environmental issues and controls relevant to the filling and sealing process, including waste/rework collection and handl</w:t>
      </w:r>
      <w:r w:rsidRPr="00BC1D94">
        <w:t>ing procedures related to the process</w:t>
      </w:r>
    </w:p>
    <w:p w:rsidR="00000000" w:rsidRPr="00BC1D94" w:rsidP="00BC1D94">
      <w:pPr>
        <w:pStyle w:val="ListBullet"/>
      </w:pPr>
      <w:r w:rsidRPr="00BC1D94">
        <w:t>basic operating principles of process control, including the relationship between control panels and systems and the physical equipment</w:t>
      </w:r>
    </w:p>
    <w:p w:rsidR="00000000" w:rsidRPr="00BC1D94" w:rsidP="00BC1D94">
      <w:pPr>
        <w:pStyle w:val="ListBullet"/>
      </w:pPr>
      <w:r w:rsidRPr="00BC1D94">
        <w:t>cleaning and sanitisation procedures for filling process</w:t>
      </w:r>
    </w:p>
    <w:p w:rsidR="00000000" w:rsidRPr="00BC1D94" w:rsidP="00BC1D94">
      <w:pPr>
        <w:pStyle w:val="ListBullet"/>
      </w:pPr>
      <w:r w:rsidRPr="00BC1D94">
        <w:t>traceability requirements</w:t>
      </w:r>
      <w:r w:rsidRPr="00BC1D94">
        <w:t>.</w:t>
      </w:r>
    </w:p>
    <w:p w:rsidR="00000000" w:rsidRPr="00BC1D94" w:rsidP="00BC1D94">
      <w:pPr>
        <w:pStyle w:val="AllowPageBreak"/>
      </w:pPr>
    </w:p>
    <w:p w:rsidR="00000000" w:rsidRPr="00BC1D94" w:rsidP="00BC1D94">
      <w:pPr>
        <w:pStyle w:val="Heading1"/>
      </w:pPr>
      <w:bookmarkStart w:id="12" w:name="O_1186345"/>
      <w:bookmarkEnd w:id="12"/>
      <w:r w:rsidRPr="00BC1D94">
        <w:t>Assessment Conditions</w:t>
      </w:r>
    </w:p>
    <w:p w:rsidR="00000000" w:rsidRPr="00BC1D94" w:rsidP="00227A39">
      <w:pPr>
        <w:pStyle w:val="BodyText"/>
      </w:pPr>
      <w:r w:rsidRPr="00BC1D94">
        <w:t>Assessment of the skills in this unit of competency must take place under the following conditions:</w:t>
      </w:r>
    </w:p>
    <w:p w:rsidR="00000000" w:rsidRPr="00BC1D94" w:rsidP="00BC1D94">
      <w:pPr>
        <w:pStyle w:val="ListBullet"/>
      </w:pPr>
      <w:r w:rsidRPr="00BC1D94">
        <w:t>physical conditions:</w:t>
      </w:r>
    </w:p>
    <w:p w:rsidR="00000000" w:rsidRPr="00BC1D94" w:rsidP="00BC1D94">
      <w:pPr>
        <w:pStyle w:val="ListBullet2"/>
      </w:pPr>
      <w:r w:rsidRPr="00BC1D94">
        <w:t>a food or beverage processing workplace or an environment that accurately represents workp</w:t>
      </w:r>
      <w:r w:rsidRPr="00BC1D94">
        <w:t>lace conditions</w:t>
      </w:r>
    </w:p>
    <w:p w:rsidR="00000000" w:rsidRPr="00BC1D94" w:rsidP="00BC1D94">
      <w:pPr>
        <w:pStyle w:val="ListBullet"/>
      </w:pPr>
      <w:r w:rsidRPr="00BC1D94">
        <w:t>resources, equipment and materials:</w:t>
      </w:r>
    </w:p>
    <w:p w:rsidR="00000000" w:rsidRPr="00BC1D94" w:rsidP="00BC1D94">
      <w:pPr>
        <w:pStyle w:val="ListBullet2"/>
      </w:pPr>
      <w:r w:rsidRPr="00BC1D94">
        <w:t>personal protective clothing and equipment</w:t>
      </w:r>
    </w:p>
    <w:p w:rsidR="00000000" w:rsidRPr="00BC1D94" w:rsidP="00BC1D94">
      <w:pPr>
        <w:pStyle w:val="ListBullet2"/>
      </w:pPr>
      <w:r w:rsidRPr="00BC1D94">
        <w:t>filling equipment and services</w:t>
      </w:r>
    </w:p>
    <w:p w:rsidR="00000000" w:rsidRPr="00BC1D94" w:rsidP="00BC1D94">
      <w:pPr>
        <w:pStyle w:val="ListBullet2"/>
      </w:pPr>
      <w:r w:rsidRPr="00BC1D94">
        <w:t>product to be filled</w:t>
      </w:r>
    </w:p>
    <w:p w:rsidR="00000000" w:rsidRPr="00BC1D94" w:rsidP="00BC1D94">
      <w:pPr>
        <w:pStyle w:val="ListBullet2"/>
      </w:pPr>
      <w:r w:rsidRPr="00BC1D94">
        <w:t>containers</w:t>
      </w:r>
    </w:p>
    <w:p w:rsidR="00000000" w:rsidRPr="00BC1D94" w:rsidP="00BC1D94">
      <w:pPr>
        <w:pStyle w:val="ListBullet2"/>
      </w:pPr>
      <w:r w:rsidRPr="00BC1D94">
        <w:t>cleaning equipment and materials</w:t>
      </w:r>
    </w:p>
    <w:p w:rsidR="00000000" w:rsidRPr="00BC1D94" w:rsidP="00BC1D94">
      <w:pPr>
        <w:pStyle w:val="ListBullet"/>
      </w:pPr>
      <w:r w:rsidRPr="00BC1D94">
        <w:t>specifications:</w:t>
      </w:r>
    </w:p>
    <w:p w:rsidR="00000000" w:rsidRPr="00BC1D94" w:rsidP="00BC1D94">
      <w:pPr>
        <w:pStyle w:val="ListBullet2"/>
      </w:pPr>
      <w:r w:rsidRPr="00BC1D94">
        <w:t>work procedures, including advice on safe work practices, food safety and environmental requirements</w:t>
      </w:r>
    </w:p>
    <w:p w:rsidR="00000000" w:rsidRPr="00BC1D94" w:rsidP="00BC1D94">
      <w:pPr>
        <w:pStyle w:val="ListBullet2"/>
      </w:pPr>
      <w:r w:rsidRPr="00BC1D94">
        <w:t>production schedule, batch instructions, control points and filling parameters</w:t>
      </w:r>
    </w:p>
    <w:p w:rsidR="00000000" w:rsidRPr="00BC1D94" w:rsidP="00BC1D94">
      <w:pPr>
        <w:pStyle w:val="ListBullet2"/>
      </w:pPr>
      <w:r w:rsidRPr="00BC1D94">
        <w:t xml:space="preserve">sampling and testing schedules </w:t>
      </w:r>
    </w:p>
    <w:p w:rsidR="00000000" w:rsidRPr="00BC1D94" w:rsidP="00BC1D94">
      <w:pPr>
        <w:pStyle w:val="ListBullet2"/>
      </w:pPr>
      <w:r w:rsidRPr="00BC1D94">
        <w:t>documentation and recording requirements.</w:t>
      </w:r>
    </w:p>
    <w:p w:rsidR="00000000" w:rsidRPr="00BC1D94" w:rsidP="00227A39">
      <w:pPr>
        <w:pStyle w:val="BodyText"/>
      </w:pPr>
      <w:r w:rsidRPr="00BC1D94">
        <w:t>As</w:t>
      </w:r>
      <w:r w:rsidRPr="00BC1D94">
        <w:t>sessors of this unit must satisfy the requirements for assessors in applicable vocational education and training legislation, frameworks and/or standards.</w:t>
      </w:r>
    </w:p>
    <w:p w:rsidR="00000000" w:rsidRPr="00BC1D94" w:rsidP="00BC1D94">
      <w:pPr>
        <w:pStyle w:val="Heading1"/>
      </w:pPr>
      <w:bookmarkStart w:id="13" w:name="O_1186348"/>
      <w:bookmarkEnd w:id="13"/>
      <w:r w:rsidRPr="00BC1D94">
        <w:t>Links</w:t>
      </w:r>
    </w:p>
    <w:p w:rsidR="00000000" w:rsidRPr="00BC1D94" w:rsidP="00227A39">
      <w:pPr>
        <w:pStyle w:val="BodyText"/>
      </w:pPr>
      <w:r w:rsidRPr="00BC1D9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90C1E">
        <w:rPr>
          <w:rStyle w:val="Hyperlink"/>
        </w:rPr>
        <w:t>https://vetnet.gov.au/Pages/TrainingDocs.aspx?q=78b15323-cd38-483e-aad7-1159b570a5c4</w:t>
      </w:r>
      <w:r>
        <w:fldChar w:fldCharType="end"/>
      </w:r>
    </w:p>
    <w:p w:rsidR="00000000" w:rsidRPr="00BC1D94" w:rsidP="00BC1D94"/>
    <w:sectPr w:rsidSect="00BC1D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94" w:rsidRPr="00227A39" w:rsidP="00227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39" w:rsidP="00BC1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7A39" w:rsidP="00BC1D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7A39" w:rsidP="00BC1D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94" w:rsidP="00BC1D94">
    <w:pPr>
      <w:pStyle w:val="Footer"/>
      <w:framePr w:wrap="around"/>
    </w:pPr>
    <w:r>
      <w:fldChar w:fldCharType="begin"/>
    </w:r>
    <w:r>
      <w:instrText xml:space="preserve"> DOCPROPERTY  Subject  \* MERGEFORMAT </w:instrText>
    </w:r>
    <w:r>
      <w:fldChar w:fldCharType="separate"/>
    </w:r>
    <w:r w:rsidR="00227A39">
      <w:t>Approved</w:t>
    </w:r>
    <w:r w:rsidR="00227A39">
      <w:fldChar w:fldCharType="end"/>
    </w:r>
    <w:r>
      <w:tab/>
      <w:t xml:space="preserve">Page </w:t>
    </w:r>
    <w:r>
      <w:fldChar w:fldCharType="begin"/>
    </w:r>
    <w:r>
      <w:instrText xml:space="preserve"> PAGE  \* Arabic  \* MERGEFORMAT </w:instrText>
    </w:r>
    <w:r>
      <w:fldChar w:fldCharType="separate"/>
    </w:r>
    <w:r w:rsidR="00227A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7A39">
      <w:rPr>
        <w:noProof/>
      </w:rPr>
      <w:t>5</w:t>
    </w:r>
    <w:r>
      <w:rPr>
        <w:noProof/>
      </w:rPr>
      <w:fldChar w:fldCharType="end"/>
    </w:r>
  </w:p>
  <w:p w:rsidR="00BC1D94" w:rsidP="00BC1D94">
    <w:pPr>
      <w:pStyle w:val="Footer"/>
      <w:framePr w:wrap="around"/>
    </w:pPr>
    <w:r>
      <w:t xml:space="preserve">© Commonwealth of Australia, </w:t>
    </w:r>
    <w:r>
      <w:fldChar w:fldCharType="begin"/>
    </w:r>
    <w:r>
      <w:instrText xml:space="preserve"> DATE  \@ "yyyy"  \* MERGEFORMAT </w:instrText>
    </w:r>
    <w:r>
      <w:fldChar w:fldCharType="separate"/>
    </w:r>
    <w:r w:rsidR="00227A39">
      <w:rPr>
        <w:noProof/>
      </w:rPr>
      <w:t>2025</w:t>
    </w:r>
    <w:r>
      <w:fldChar w:fldCharType="end"/>
    </w:r>
    <w:r>
      <w:tab/>
    </w:r>
    <w:r>
      <w:fldChar w:fldCharType="begin"/>
    </w:r>
    <w:r>
      <w:instrText xml:space="preserve"> DOCPROPERTY  Author  \* MERGEFORMAT </w:instrText>
    </w:r>
    <w:r>
      <w:fldChar w:fldCharType="separate"/>
    </w:r>
    <w:r w:rsidR="00227A39">
      <w:t>Manufacturing Industry Skills Alliance</w:t>
    </w:r>
    <w:r w:rsidR="00227A39">
      <w:fldChar w:fldCharType="end"/>
    </w:r>
  </w:p>
  <w:p w:rsidR="00BC1D94" w:rsidP="00BC1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D94" w:rsidRPr="00227A39" w:rsidP="00227A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A39" w:rsidRPr="002D2AF8" w:rsidP="00BC1D94">
    <w:pPr>
      <w:pStyle w:val="Header"/>
      <w:framePr w:wrap="around"/>
    </w:pPr>
    <w:r>
      <w:fldChar w:fldCharType="begin"/>
    </w:r>
    <w:r>
      <w:instrText xml:space="preserve"> TITLE   \* MERGEFORMAT </w:instrText>
    </w:r>
    <w:r>
      <w:fldChar w:fldCharType="separate"/>
    </w:r>
    <w:r>
      <w:t>FBPBPG3010 Operate and monitor a carbonated beverage filling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7A39" w:rsidP="00BC1D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94" w:rsidRPr="002D2AF8" w:rsidP="00BC1D94">
    <w:pPr>
      <w:pStyle w:val="Header"/>
      <w:framePr w:wrap="around"/>
    </w:pPr>
    <w:r>
      <w:fldChar w:fldCharType="begin"/>
    </w:r>
    <w:r>
      <w:instrText xml:space="preserve"> TITLE   \* MERGEFORMAT </w:instrText>
    </w:r>
    <w:r>
      <w:fldChar w:fldCharType="separate"/>
    </w:r>
    <w:r w:rsidR="00227A39">
      <w:t>FBPBPG3010 Operate and monitor a carbonated beverage filling process</w:t>
    </w:r>
    <w:r w:rsidR="00227A39">
      <w:fldChar w:fldCharType="end"/>
    </w:r>
    <w:r>
      <w:tab/>
      <w:t xml:space="preserve">Date this document was generated: </w:t>
    </w:r>
    <w:r>
      <w:fldChar w:fldCharType="begin"/>
    </w:r>
    <w:r>
      <w:instrText xml:space="preserve"> CREATEDATE  \@ "d MMMM yyyy"  \* MERGEFORMAT </w:instrText>
    </w:r>
    <w:r>
      <w:fldChar w:fldCharType="separate"/>
    </w:r>
    <w:r w:rsidR="00227A39">
      <w:rPr>
        <w:noProof/>
      </w:rPr>
      <w:t>2 March 2025</w:t>
    </w:r>
    <w:r>
      <w:fldChar w:fldCharType="end"/>
    </w:r>
  </w:p>
  <w:p w:rsidR="00BC1D94" w:rsidP="00BC1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FA4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DCA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EE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D94"/>
    <w:pPr>
      <w:spacing w:before="360" w:after="60"/>
      <w:outlineLvl w:val="0"/>
    </w:pPr>
    <w:rPr>
      <w:sz w:val="32"/>
    </w:rPr>
  </w:style>
  <w:style w:type="paragraph" w:styleId="Heading2">
    <w:name w:val="heading 2"/>
    <w:basedOn w:val="HeadingBase"/>
    <w:next w:val="BodyText"/>
    <w:link w:val="Heading2Char"/>
    <w:qFormat/>
    <w:rsid w:val="00BC1D94"/>
    <w:pPr>
      <w:keepLines/>
      <w:spacing w:before="240" w:after="120"/>
      <w:outlineLvl w:val="1"/>
    </w:pPr>
    <w:rPr>
      <w:sz w:val="28"/>
      <w:szCs w:val="40"/>
    </w:rPr>
  </w:style>
  <w:style w:type="paragraph" w:styleId="Heading3">
    <w:name w:val="heading 3"/>
    <w:basedOn w:val="HeadingBase"/>
    <w:next w:val="BodyText"/>
    <w:link w:val="Heading3Char"/>
    <w:qFormat/>
    <w:rsid w:val="00BC1D94"/>
    <w:pPr>
      <w:spacing w:before="180" w:after="120"/>
      <w:outlineLvl w:val="2"/>
    </w:pPr>
    <w:rPr>
      <w:spacing w:val="-10"/>
      <w:kern w:val="32"/>
    </w:rPr>
  </w:style>
  <w:style w:type="paragraph" w:styleId="Heading4">
    <w:name w:val="heading 4"/>
    <w:basedOn w:val="HeadingBase"/>
    <w:next w:val="BodyText"/>
    <w:link w:val="Heading4Char"/>
    <w:qFormat/>
    <w:rsid w:val="00BC1D94"/>
    <w:pPr>
      <w:spacing w:before="160" w:after="120"/>
      <w:outlineLvl w:val="3"/>
    </w:pPr>
    <w:rPr>
      <w:sz w:val="22"/>
    </w:rPr>
  </w:style>
  <w:style w:type="paragraph" w:styleId="Heading5">
    <w:name w:val="heading 5"/>
    <w:basedOn w:val="HeadingBase"/>
    <w:next w:val="Normal"/>
    <w:link w:val="Heading5Char"/>
    <w:qFormat/>
    <w:rsid w:val="00BC1D94"/>
    <w:pPr>
      <w:spacing w:before="80"/>
      <w:outlineLvl w:val="4"/>
    </w:pPr>
    <w:rPr>
      <w:color w:val="918585"/>
      <w:sz w:val="20"/>
    </w:rPr>
  </w:style>
  <w:style w:type="paragraph" w:styleId="Heading6">
    <w:name w:val="heading 6"/>
    <w:basedOn w:val="HeadingBase"/>
    <w:next w:val="Normal"/>
    <w:link w:val="Heading6Char"/>
    <w:qFormat/>
    <w:rsid w:val="00BC1D94"/>
    <w:pPr>
      <w:spacing w:before="60"/>
      <w:outlineLvl w:val="5"/>
    </w:pPr>
    <w:rPr>
      <w:color w:val="918585"/>
      <w:sz w:val="20"/>
    </w:rPr>
  </w:style>
  <w:style w:type="paragraph" w:styleId="Heading7">
    <w:name w:val="heading 7"/>
    <w:basedOn w:val="Normal"/>
    <w:next w:val="Normal"/>
    <w:link w:val="Heading7Char"/>
    <w:qFormat/>
    <w:rsid w:val="00BC1D94"/>
    <w:pPr>
      <w:ind w:left="720"/>
      <w:outlineLvl w:val="6"/>
    </w:pPr>
    <w:rPr>
      <w:i/>
    </w:rPr>
  </w:style>
  <w:style w:type="paragraph" w:styleId="Heading8">
    <w:name w:val="heading 8"/>
    <w:basedOn w:val="Normal"/>
    <w:next w:val="Normal"/>
    <w:link w:val="Heading8Char"/>
    <w:qFormat/>
    <w:rsid w:val="00BC1D94"/>
    <w:pPr>
      <w:ind w:left="720"/>
      <w:outlineLvl w:val="7"/>
    </w:pPr>
    <w:rPr>
      <w:i/>
    </w:rPr>
  </w:style>
  <w:style w:type="paragraph" w:styleId="Heading9">
    <w:name w:val="heading 9"/>
    <w:basedOn w:val="Normal"/>
    <w:next w:val="Normal"/>
    <w:link w:val="Heading9Char"/>
    <w:qFormat/>
    <w:rsid w:val="00BC1D94"/>
    <w:pPr>
      <w:ind w:left="720"/>
      <w:outlineLvl w:val="8"/>
    </w:pPr>
    <w:rPr>
      <w:i/>
    </w:rPr>
  </w:style>
  <w:style w:type="character" w:default="1" w:styleId="DefaultParagraphFont">
    <w:name w:val="Default Paragraph Font"/>
    <w:uiPriority w:val="1"/>
    <w:unhideWhenUsed/>
    <w:rsid w:val="00BC1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D94"/>
  </w:style>
  <w:style w:type="character" w:customStyle="1" w:styleId="Heading1Char">
    <w:name w:val="Heading 1 Char"/>
    <w:basedOn w:val="DefaultParagraphFont"/>
    <w:link w:val="Heading1"/>
    <w:rsid w:val="00BC1D94"/>
    <w:rPr>
      <w:rFonts w:ascii="Times New Roman" w:eastAsia="Times New Roman" w:hAnsi="Times New Roman" w:cs="Times New Roman"/>
      <w:b/>
      <w:sz w:val="32"/>
      <w:szCs w:val="20"/>
      <w:lang w:eastAsia="en-US"/>
    </w:rPr>
  </w:style>
  <w:style w:type="paragraph" w:styleId="BodyText">
    <w:name w:val="Body Text"/>
    <w:basedOn w:val="Normal"/>
    <w:link w:val="BodyTextChar"/>
    <w:rsid w:val="00BC1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D94"/>
    <w:rPr>
      <w:rFonts w:ascii="Times New Roman" w:eastAsia="Times New Roman" w:hAnsi="Times New Roman" w:cs="Times New Roman"/>
      <w:sz w:val="24"/>
      <w:lang w:eastAsia="en-US"/>
    </w:rPr>
  </w:style>
  <w:style w:type="paragraph" w:styleId="ListBullet">
    <w:name w:val="List Bullet"/>
    <w:basedOn w:val="List"/>
    <w:rsid w:val="00BC1D94"/>
    <w:pPr>
      <w:numPr>
        <w:numId w:val="12"/>
      </w:numPr>
      <w:tabs>
        <w:tab w:val="clear" w:pos="340"/>
      </w:tabs>
      <w:spacing w:before="40" w:after="40"/>
    </w:pPr>
  </w:style>
  <w:style w:type="paragraph" w:styleId="ListBullet2">
    <w:name w:val="List Bullet 2"/>
    <w:basedOn w:val="List2"/>
    <w:rsid w:val="00BC1D94"/>
    <w:pPr>
      <w:numPr>
        <w:numId w:val="13"/>
      </w:numPr>
      <w:tabs>
        <w:tab w:val="clear" w:pos="680"/>
      </w:tabs>
    </w:pPr>
  </w:style>
  <w:style w:type="character" w:styleId="Emphasis">
    <w:name w:val="Emphasis"/>
    <w:basedOn w:val="DefaultParagraphFont"/>
    <w:qFormat/>
    <w:rsid w:val="00BC1D94"/>
    <w:rPr>
      <w:i/>
    </w:rPr>
  </w:style>
  <w:style w:type="paragraph" w:customStyle="1" w:styleId="SuperHeading">
    <w:name w:val="SuperHeading"/>
    <w:basedOn w:val="Normal"/>
    <w:rsid w:val="00BC1D94"/>
    <w:pPr>
      <w:spacing w:before="240" w:after="120"/>
      <w:outlineLvl w:val="0"/>
    </w:pPr>
    <w:rPr>
      <w:rFonts w:ascii="Times New Roman" w:hAnsi="Times New Roman"/>
      <w:b/>
      <w:sz w:val="32"/>
    </w:rPr>
  </w:style>
  <w:style w:type="paragraph" w:customStyle="1" w:styleId="AllowPageBreak">
    <w:name w:val="AllowPageBreak"/>
    <w:rsid w:val="00BC1D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1D94"/>
    <w:rPr>
      <w:b/>
    </w:rPr>
  </w:style>
  <w:style w:type="character" w:customStyle="1" w:styleId="Heading2Char">
    <w:name w:val="Heading 2 Char"/>
    <w:basedOn w:val="DefaultParagraphFont"/>
    <w:link w:val="Heading2"/>
    <w:rsid w:val="00BC1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D94"/>
    <w:rPr>
      <w:rFonts w:ascii="Courier New" w:eastAsia="Times New Roman" w:hAnsi="Courier New" w:cs="Times New Roman"/>
      <w:i/>
      <w:szCs w:val="20"/>
      <w:lang w:eastAsia="en-US"/>
    </w:rPr>
  </w:style>
  <w:style w:type="paragraph" w:customStyle="1" w:styleId="HeadingBase">
    <w:name w:val="Heading Base"/>
    <w:rsid w:val="00BC1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D94"/>
    <w:pPr>
      <w:tabs>
        <w:tab w:val="right" w:leader="dot" w:pos="9072"/>
      </w:tabs>
      <w:ind w:left="567"/>
    </w:pPr>
    <w:rPr>
      <w:szCs w:val="22"/>
    </w:rPr>
  </w:style>
  <w:style w:type="paragraph" w:customStyle="1" w:styleId="TOCBase">
    <w:name w:val="TOC Base"/>
    <w:rsid w:val="00BC1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D94"/>
    <w:pPr>
      <w:tabs>
        <w:tab w:val="right" w:leader="dot" w:pos="9072"/>
      </w:tabs>
      <w:spacing w:before="40" w:after="40"/>
      <w:ind w:left="284"/>
    </w:pPr>
    <w:rPr>
      <w:rFonts w:ascii="Times New Roman" w:hAnsi="Times New Roman"/>
    </w:rPr>
  </w:style>
  <w:style w:type="paragraph" w:styleId="TOC1">
    <w:name w:val="toc 1"/>
    <w:basedOn w:val="TOCBase"/>
    <w:next w:val="Normal"/>
    <w:rsid w:val="00BC1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D94"/>
    <w:rPr>
      <w:rFonts w:ascii="Times New Roman" w:eastAsia="Times New Roman" w:hAnsi="Times New Roman" w:cs="Times New Roman"/>
      <w:sz w:val="16"/>
      <w:lang w:eastAsia="en-US"/>
    </w:rPr>
  </w:style>
  <w:style w:type="paragraph" w:styleId="Title">
    <w:name w:val="Title"/>
    <w:basedOn w:val="HeadingBase"/>
    <w:link w:val="TitleChar"/>
    <w:qFormat/>
    <w:rsid w:val="00BC1D94"/>
    <w:pPr>
      <w:spacing w:before="5040"/>
      <w:jc w:val="center"/>
    </w:pPr>
    <w:rPr>
      <w:sz w:val="48"/>
      <w:szCs w:val="72"/>
      <w:lang w:val="en-US"/>
    </w:rPr>
  </w:style>
  <w:style w:type="character" w:customStyle="1" w:styleId="TitleChar">
    <w:name w:val="Title Char"/>
    <w:basedOn w:val="DefaultParagraphFont"/>
    <w:link w:val="Title"/>
    <w:rsid w:val="00BC1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D94"/>
    <w:pPr>
      <w:tabs>
        <w:tab w:val="left" w:pos="3600"/>
        <w:tab w:val="left" w:pos="3958"/>
      </w:tabs>
    </w:pPr>
  </w:style>
  <w:style w:type="paragraph" w:styleId="List">
    <w:name w:val="List"/>
    <w:basedOn w:val="BodyText"/>
    <w:next w:val="BodyText"/>
    <w:rsid w:val="00BC1D94"/>
    <w:pPr>
      <w:tabs>
        <w:tab w:val="left" w:pos="340"/>
      </w:tabs>
      <w:spacing w:before="60" w:after="60"/>
      <w:ind w:left="340" w:hanging="340"/>
    </w:pPr>
  </w:style>
  <w:style w:type="paragraph" w:customStyle="1" w:styleId="Note">
    <w:name w:val="Note"/>
    <w:basedOn w:val="BodyText"/>
    <w:rsid w:val="00BC1D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1D94"/>
    <w:rPr>
      <w:b/>
      <w:spacing w:val="0"/>
    </w:rPr>
  </w:style>
  <w:style w:type="paragraph" w:customStyle="1" w:styleId="SuperTitle">
    <w:name w:val="SuperTitle"/>
    <w:basedOn w:val="Title"/>
    <w:rsid w:val="00BC1D94"/>
    <w:pPr>
      <w:framePr w:wrap="auto" w:hAnchor="text" w:y="6049"/>
    </w:pPr>
    <w:rPr>
      <w:color w:val="000000"/>
      <w:sz w:val="40"/>
    </w:rPr>
  </w:style>
  <w:style w:type="paragraph" w:customStyle="1" w:styleId="TOCTitle">
    <w:name w:val="TOCTitle"/>
    <w:basedOn w:val="Heading1"/>
    <w:rsid w:val="00BC1D94"/>
    <w:pPr>
      <w:spacing w:after="240"/>
      <w:jc w:val="center"/>
      <w:outlineLvl w:val="9"/>
    </w:pPr>
    <w:rPr>
      <w:caps/>
    </w:rPr>
  </w:style>
  <w:style w:type="paragraph" w:customStyle="1" w:styleId="Version">
    <w:name w:val="Version"/>
    <w:rsid w:val="00BC1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D94"/>
    <w:pPr>
      <w:keepNext w:val="0"/>
      <w:tabs>
        <w:tab w:val="right" w:pos="4176"/>
      </w:tabs>
      <w:ind w:left="198" w:hanging="198"/>
    </w:pPr>
    <w:rPr>
      <w:rFonts w:ascii="Garamond" w:hAnsi="Garamond"/>
    </w:rPr>
  </w:style>
  <w:style w:type="paragraph" w:styleId="IndexHeading">
    <w:name w:val="index heading"/>
    <w:basedOn w:val="Normal"/>
    <w:next w:val="Index1"/>
    <w:semiHidden/>
    <w:rsid w:val="00BC1D94"/>
    <w:pPr>
      <w:spacing w:before="120" w:after="120"/>
    </w:pPr>
    <w:rPr>
      <w:rFonts w:ascii="Arial" w:hAnsi="Arial"/>
      <w:b/>
      <w:color w:val="918585"/>
      <w:sz w:val="24"/>
    </w:rPr>
  </w:style>
  <w:style w:type="paragraph" w:styleId="Header">
    <w:name w:val="header"/>
    <w:basedOn w:val="Normal"/>
    <w:link w:val="HeaderChar"/>
    <w:rsid w:val="00BC1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D94"/>
    <w:rPr>
      <w:rFonts w:ascii="Times New Roman" w:eastAsia="Times New Roman" w:hAnsi="Times New Roman" w:cs="Times New Roman"/>
      <w:sz w:val="16"/>
      <w:szCs w:val="20"/>
      <w:lang w:val="en-GB" w:eastAsia="en-US"/>
    </w:rPr>
  </w:style>
  <w:style w:type="paragraph" w:customStyle="1" w:styleId="Chapter">
    <w:name w:val="Chapter"/>
    <w:basedOn w:val="Normal"/>
    <w:rsid w:val="00BC1D94"/>
    <w:pPr>
      <w:spacing w:before="240"/>
    </w:pPr>
    <w:rPr>
      <w:rFonts w:ascii="Times New Roman" w:hAnsi="Times New Roman"/>
      <w:smallCaps/>
      <w:spacing w:val="80"/>
      <w:sz w:val="28"/>
    </w:rPr>
  </w:style>
  <w:style w:type="paragraph" w:customStyle="1" w:styleId="InChapter">
    <w:name w:val="InChapter"/>
    <w:basedOn w:val="Heading3"/>
    <w:rsid w:val="00BC1D94"/>
    <w:pPr>
      <w:spacing w:after="240"/>
      <w:outlineLvl w:val="9"/>
    </w:pPr>
    <w:rPr>
      <w:noProof/>
    </w:rPr>
  </w:style>
  <w:style w:type="paragraph" w:styleId="Index2">
    <w:name w:val="index 2"/>
    <w:basedOn w:val="Normal"/>
    <w:next w:val="Normal"/>
    <w:semiHidden/>
    <w:rsid w:val="00BC1D94"/>
    <w:pPr>
      <w:tabs>
        <w:tab w:val="right" w:pos="4176"/>
      </w:tabs>
      <w:ind w:left="568" w:hanging="284"/>
    </w:pPr>
    <w:rPr>
      <w:rFonts w:ascii="Garamond" w:hAnsi="Garamond"/>
    </w:rPr>
  </w:style>
  <w:style w:type="paragraph" w:customStyle="1" w:styleId="Byline">
    <w:name w:val="Byline"/>
    <w:rsid w:val="00BC1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D94"/>
    <w:pPr>
      <w:tabs>
        <w:tab w:val="clear" w:pos="3600"/>
        <w:tab w:val="clear" w:pos="3958"/>
      </w:tabs>
      <w:jc w:val="right"/>
    </w:pPr>
  </w:style>
  <w:style w:type="paragraph" w:styleId="Caption">
    <w:name w:val="caption"/>
    <w:basedOn w:val="BodyText"/>
    <w:next w:val="Normal"/>
    <w:qFormat/>
    <w:rsid w:val="00BC1D94"/>
    <w:pPr>
      <w:framePr w:w="2268" w:hSpace="181" w:vSpace="181" w:wrap="around" w:vAnchor="text" w:hAnchor="page" w:x="1135" w:y="285" w:anchorLock="1"/>
    </w:pPr>
    <w:rPr>
      <w:i/>
    </w:rPr>
  </w:style>
  <w:style w:type="paragraph" w:customStyle="1" w:styleId="MiniTOCTitle">
    <w:name w:val="MiniTOCTitle"/>
    <w:basedOn w:val="Heading4"/>
    <w:rsid w:val="00BC1D94"/>
    <w:pPr>
      <w:spacing w:before="240"/>
      <w:outlineLvl w:val="9"/>
    </w:pPr>
    <w:rPr>
      <w:noProof/>
      <w:sz w:val="24"/>
    </w:rPr>
  </w:style>
  <w:style w:type="paragraph" w:customStyle="1" w:styleId="MiniTOCItem">
    <w:name w:val="MiniTOCItem"/>
    <w:basedOn w:val="ListBullet"/>
    <w:rsid w:val="00BC1D94"/>
    <w:pPr>
      <w:numPr>
        <w:numId w:val="0"/>
      </w:numPr>
      <w:tabs>
        <w:tab w:val="right" w:leader="dot" w:pos="6521"/>
      </w:tabs>
      <w:spacing w:before="0" w:after="0"/>
    </w:pPr>
  </w:style>
  <w:style w:type="paragraph" w:customStyle="1" w:styleId="TOFTitle">
    <w:name w:val="TOFTitle"/>
    <w:basedOn w:val="TOCTitle"/>
    <w:rsid w:val="00BC1D94"/>
  </w:style>
  <w:style w:type="paragraph" w:styleId="TableofFigures">
    <w:name w:val="table of figures"/>
    <w:basedOn w:val="Normal"/>
    <w:next w:val="Normal"/>
    <w:semiHidden/>
    <w:rsid w:val="00BC1D94"/>
    <w:pPr>
      <w:tabs>
        <w:tab w:val="right" w:leader="dot" w:pos="9072"/>
      </w:tabs>
      <w:ind w:left="970" w:hanging="403"/>
    </w:pPr>
    <w:rPr>
      <w:rFonts w:ascii="Times New Roman" w:hAnsi="Times New Roman"/>
      <w:b/>
    </w:rPr>
  </w:style>
  <w:style w:type="paragraph" w:styleId="ListNumber">
    <w:name w:val="List Number"/>
    <w:basedOn w:val="List"/>
    <w:rsid w:val="00BC1D94"/>
    <w:pPr>
      <w:numPr>
        <w:numId w:val="15"/>
      </w:numPr>
      <w:tabs>
        <w:tab w:val="clear" w:pos="340"/>
      </w:tabs>
    </w:pPr>
  </w:style>
  <w:style w:type="character" w:customStyle="1" w:styleId="WingdingSymbols">
    <w:name w:val="Wingding Symbols"/>
    <w:rsid w:val="00BC1D94"/>
    <w:rPr>
      <w:rFonts w:ascii="Wingdings" w:hAnsi="Wingdings"/>
    </w:rPr>
  </w:style>
  <w:style w:type="paragraph" w:customStyle="1" w:styleId="TableHeading">
    <w:name w:val="Table Heading"/>
    <w:basedOn w:val="HeadingBase"/>
    <w:rsid w:val="00BC1D94"/>
    <w:pPr>
      <w:keepLines/>
      <w:pBdr>
        <w:bottom w:val="single" w:sz="6" w:space="1" w:color="918585"/>
      </w:pBdr>
      <w:spacing w:before="240"/>
    </w:pPr>
  </w:style>
  <w:style w:type="character" w:customStyle="1" w:styleId="HotSpot">
    <w:name w:val="HotSpot"/>
    <w:rsid w:val="00BC1D94"/>
    <w:rPr>
      <w:color w:val="0033CC"/>
      <w:u w:val="none"/>
    </w:rPr>
  </w:style>
  <w:style w:type="paragraph" w:customStyle="1" w:styleId="BodyTextRight">
    <w:name w:val="Body Text Right"/>
    <w:basedOn w:val="BodyText"/>
    <w:rsid w:val="00BC1D94"/>
    <w:pPr>
      <w:spacing w:before="0" w:after="0"/>
      <w:jc w:val="right"/>
    </w:pPr>
  </w:style>
  <w:style w:type="paragraph" w:styleId="Index3">
    <w:name w:val="index 3"/>
    <w:basedOn w:val="ListNumber2"/>
    <w:next w:val="Normal"/>
    <w:semiHidden/>
    <w:rsid w:val="00BC1D94"/>
    <w:pPr>
      <w:numPr>
        <w:numId w:val="0"/>
      </w:numPr>
      <w:tabs>
        <w:tab w:val="right" w:leader="dot" w:pos="4176"/>
      </w:tabs>
    </w:pPr>
  </w:style>
  <w:style w:type="paragraph" w:styleId="ListNumber2">
    <w:name w:val="List Number 2"/>
    <w:basedOn w:val="List2"/>
    <w:rsid w:val="00BC1D94"/>
    <w:pPr>
      <w:numPr>
        <w:numId w:val="10"/>
      </w:numPr>
      <w:tabs>
        <w:tab w:val="clear" w:pos="1060"/>
      </w:tabs>
    </w:pPr>
  </w:style>
  <w:style w:type="paragraph" w:customStyle="1" w:styleId="MarginNote">
    <w:name w:val="Margin Note"/>
    <w:basedOn w:val="BodyText"/>
    <w:rsid w:val="00BC1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D94"/>
    <w:rPr>
      <w:sz w:val="32"/>
    </w:rPr>
  </w:style>
  <w:style w:type="paragraph" w:customStyle="1" w:styleId="HeadingProcedure">
    <w:name w:val="Heading Procedure"/>
    <w:basedOn w:val="HeadingBase"/>
    <w:next w:val="Normal"/>
    <w:rsid w:val="00BC1D94"/>
    <w:pPr>
      <w:tabs>
        <w:tab w:val="left" w:pos="0"/>
      </w:tabs>
      <w:spacing w:before="120" w:after="60"/>
    </w:pPr>
    <w:rPr>
      <w:i/>
      <w:color w:val="918585"/>
      <w:sz w:val="22"/>
    </w:rPr>
  </w:style>
  <w:style w:type="paragraph" w:customStyle="1" w:styleId="TableBodyText">
    <w:name w:val="Table Body Text"/>
    <w:basedOn w:val="BodyText"/>
    <w:rsid w:val="00BC1D94"/>
    <w:pPr>
      <w:spacing w:before="60" w:after="60"/>
    </w:pPr>
  </w:style>
  <w:style w:type="paragraph" w:styleId="ListContinue">
    <w:name w:val="List Continue"/>
    <w:basedOn w:val="List"/>
    <w:rsid w:val="00BC1D94"/>
    <w:pPr>
      <w:ind w:firstLine="0"/>
    </w:pPr>
  </w:style>
  <w:style w:type="paragraph" w:customStyle="1" w:styleId="ListNote">
    <w:name w:val="List Note"/>
    <w:basedOn w:val="List"/>
    <w:rsid w:val="00BC1D94"/>
    <w:pPr>
      <w:pBdr>
        <w:top w:val="single" w:sz="6" w:space="2" w:color="918585"/>
        <w:bottom w:val="single" w:sz="6" w:space="2" w:color="918585"/>
      </w:pBdr>
      <w:tabs>
        <w:tab w:val="left" w:pos="1021"/>
      </w:tabs>
      <w:ind w:firstLine="0"/>
    </w:pPr>
  </w:style>
  <w:style w:type="paragraph" w:customStyle="1" w:styleId="Warning">
    <w:name w:val="Warning"/>
    <w:basedOn w:val="BodyText"/>
    <w:rsid w:val="00BC1D94"/>
    <w:pPr>
      <w:shd w:val="clear" w:color="auto" w:fill="D9D9D9"/>
      <w:tabs>
        <w:tab w:val="left" w:pos="992"/>
      </w:tabs>
      <w:ind w:left="119" w:right="119"/>
    </w:pPr>
    <w:rPr>
      <w:sz w:val="20"/>
    </w:rPr>
  </w:style>
  <w:style w:type="paragraph" w:customStyle="1" w:styleId="MarginIcons">
    <w:name w:val="Margin Icons"/>
    <w:basedOn w:val="BodyText"/>
    <w:rsid w:val="00BC1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D94"/>
    <w:rPr>
      <w:rFonts w:ascii="Courier New" w:hAnsi="Courier New"/>
    </w:rPr>
  </w:style>
  <w:style w:type="paragraph" w:customStyle="1" w:styleId="NoteBullet">
    <w:name w:val="Note Bullet"/>
    <w:basedOn w:val="Note"/>
    <w:rsid w:val="00BC1D94"/>
    <w:pPr>
      <w:tabs>
        <w:tab w:val="clear" w:pos="680"/>
      </w:tabs>
      <w:spacing w:before="60" w:after="60"/>
    </w:pPr>
  </w:style>
  <w:style w:type="paragraph" w:customStyle="1" w:styleId="SubHeading2">
    <w:name w:val="SubHeading2"/>
    <w:basedOn w:val="HeadingBase"/>
    <w:rsid w:val="00BC1D94"/>
    <w:pPr>
      <w:spacing w:before="240" w:after="60"/>
    </w:pPr>
    <w:rPr>
      <w:sz w:val="20"/>
    </w:rPr>
  </w:style>
  <w:style w:type="paragraph" w:customStyle="1" w:styleId="SubHeading1">
    <w:name w:val="SubHeading1"/>
    <w:basedOn w:val="HeadingBase"/>
    <w:rsid w:val="00BC1D94"/>
    <w:pPr>
      <w:spacing w:before="240" w:after="60"/>
    </w:pPr>
    <w:rPr>
      <w:color w:val="918585"/>
      <w:sz w:val="22"/>
    </w:rPr>
  </w:style>
  <w:style w:type="paragraph" w:customStyle="1" w:styleId="SideHeading">
    <w:name w:val="Side Heading"/>
    <w:basedOn w:val="HeadingBase"/>
    <w:rsid w:val="00BC1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D94"/>
    <w:pPr>
      <w:tabs>
        <w:tab w:val="num" w:pos="360"/>
      </w:tabs>
    </w:pPr>
  </w:style>
  <w:style w:type="paragraph" w:styleId="PlainText">
    <w:name w:val="Plain Text"/>
    <w:basedOn w:val="Normal"/>
    <w:link w:val="PlainTextChar"/>
    <w:rsid w:val="00BC1D94"/>
    <w:rPr>
      <w:sz w:val="20"/>
    </w:rPr>
  </w:style>
  <w:style w:type="character" w:customStyle="1" w:styleId="PlainTextChar">
    <w:name w:val="Plain Text Char"/>
    <w:basedOn w:val="DefaultParagraphFont"/>
    <w:link w:val="PlainText"/>
    <w:rsid w:val="00BC1D94"/>
    <w:rPr>
      <w:rFonts w:ascii="Courier New" w:eastAsia="Times New Roman" w:hAnsi="Courier New" w:cs="Times New Roman"/>
      <w:sz w:val="20"/>
      <w:szCs w:val="20"/>
      <w:lang w:eastAsia="en-US"/>
    </w:rPr>
  </w:style>
  <w:style w:type="character" w:customStyle="1" w:styleId="MenuOption">
    <w:name w:val="Menu Option"/>
    <w:basedOn w:val="DefaultParagraphFont"/>
    <w:rsid w:val="00BC1D94"/>
    <w:rPr>
      <w:b/>
      <w:smallCaps/>
    </w:rPr>
  </w:style>
  <w:style w:type="paragraph" w:customStyle="1" w:styleId="TableListNumber">
    <w:name w:val="Table List Number"/>
    <w:basedOn w:val="ListNumber"/>
    <w:rsid w:val="00BC1D94"/>
    <w:pPr>
      <w:numPr>
        <w:numId w:val="0"/>
      </w:numPr>
    </w:pPr>
  </w:style>
  <w:style w:type="paragraph" w:styleId="TOC4">
    <w:name w:val="toc 4"/>
    <w:basedOn w:val="TOCBase"/>
    <w:next w:val="Normal"/>
    <w:semiHidden/>
    <w:rsid w:val="00BC1D94"/>
    <w:pPr>
      <w:tabs>
        <w:tab w:val="right" w:leader="dot" w:pos="9071"/>
      </w:tabs>
      <w:ind w:left="1701"/>
    </w:pPr>
  </w:style>
  <w:style w:type="paragraph" w:customStyle="1" w:styleId="ListAlpha">
    <w:name w:val="List Alpha"/>
    <w:basedOn w:val="List"/>
    <w:rsid w:val="00BC1D94"/>
    <w:pPr>
      <w:numPr>
        <w:numId w:val="9"/>
      </w:numPr>
    </w:pPr>
  </w:style>
  <w:style w:type="paragraph" w:customStyle="1" w:styleId="ListAlpha2">
    <w:name w:val="List Alpha 2"/>
    <w:basedOn w:val="List2"/>
    <w:rsid w:val="00BC1D94"/>
    <w:pPr>
      <w:numPr>
        <w:numId w:val="8"/>
      </w:numPr>
    </w:pPr>
  </w:style>
  <w:style w:type="paragraph" w:styleId="List2">
    <w:name w:val="List 2"/>
    <w:basedOn w:val="BodyText"/>
    <w:rsid w:val="00BC1D94"/>
    <w:pPr>
      <w:tabs>
        <w:tab w:val="left" w:pos="680"/>
      </w:tabs>
      <w:spacing w:before="60" w:after="60"/>
      <w:ind w:left="680" w:hanging="340"/>
    </w:pPr>
  </w:style>
  <w:style w:type="paragraph" w:styleId="List3">
    <w:name w:val="List 3"/>
    <w:basedOn w:val="BodyText"/>
    <w:rsid w:val="00BC1D94"/>
    <w:pPr>
      <w:tabs>
        <w:tab w:val="left" w:pos="1021"/>
      </w:tabs>
      <w:spacing w:before="60" w:after="60"/>
      <w:ind w:left="1020" w:hanging="340"/>
    </w:pPr>
  </w:style>
  <w:style w:type="paragraph" w:styleId="List4">
    <w:name w:val="List 4"/>
    <w:basedOn w:val="BodyText"/>
    <w:rsid w:val="00BC1D94"/>
    <w:pPr>
      <w:tabs>
        <w:tab w:val="left" w:pos="1361"/>
      </w:tabs>
      <w:spacing w:before="60" w:after="60"/>
      <w:ind w:left="1361" w:hanging="340"/>
    </w:pPr>
  </w:style>
  <w:style w:type="paragraph" w:styleId="List5">
    <w:name w:val="List 5"/>
    <w:basedOn w:val="BodyText"/>
    <w:rsid w:val="00BC1D94"/>
    <w:pPr>
      <w:tabs>
        <w:tab w:val="left" w:pos="1701"/>
      </w:tabs>
      <w:spacing w:before="60" w:after="60"/>
      <w:ind w:left="1701" w:hanging="340"/>
    </w:pPr>
  </w:style>
  <w:style w:type="paragraph" w:styleId="ListBullet3">
    <w:name w:val="List Bullet 3"/>
    <w:basedOn w:val="List3"/>
    <w:rsid w:val="00BC1D94"/>
    <w:pPr>
      <w:numPr>
        <w:numId w:val="14"/>
      </w:numPr>
      <w:tabs>
        <w:tab w:val="clear" w:pos="1021"/>
      </w:tabs>
      <w:ind w:left="1037" w:hanging="357"/>
    </w:pPr>
  </w:style>
  <w:style w:type="paragraph" w:styleId="ListBullet4">
    <w:name w:val="List Bullet 4"/>
    <w:basedOn w:val="List4"/>
    <w:rsid w:val="00BC1D94"/>
    <w:pPr>
      <w:numPr>
        <w:numId w:val="3"/>
      </w:numPr>
      <w:tabs>
        <w:tab w:val="clear" w:pos="1361"/>
      </w:tabs>
    </w:pPr>
  </w:style>
  <w:style w:type="paragraph" w:styleId="ListBullet5">
    <w:name w:val="List Bullet 5"/>
    <w:basedOn w:val="List5"/>
    <w:rsid w:val="00BC1D94"/>
    <w:pPr>
      <w:numPr>
        <w:numId w:val="4"/>
      </w:numPr>
    </w:pPr>
  </w:style>
  <w:style w:type="paragraph" w:styleId="ListContinue2">
    <w:name w:val="List Continue 2"/>
    <w:basedOn w:val="List2"/>
    <w:rsid w:val="00BC1D94"/>
    <w:pPr>
      <w:ind w:firstLine="0"/>
    </w:pPr>
  </w:style>
  <w:style w:type="paragraph" w:styleId="ListContinue3">
    <w:name w:val="List Continue 3"/>
    <w:basedOn w:val="List3"/>
    <w:rsid w:val="00BC1D94"/>
    <w:pPr>
      <w:ind w:left="1021" w:firstLine="0"/>
    </w:pPr>
  </w:style>
  <w:style w:type="paragraph" w:styleId="ListContinue4">
    <w:name w:val="List Continue 4"/>
    <w:basedOn w:val="List4"/>
    <w:rsid w:val="00BC1D94"/>
    <w:pPr>
      <w:ind w:firstLine="0"/>
    </w:pPr>
  </w:style>
  <w:style w:type="paragraph" w:styleId="ListContinue5">
    <w:name w:val="List Continue 5"/>
    <w:basedOn w:val="List5"/>
    <w:rsid w:val="00BC1D94"/>
    <w:pPr>
      <w:ind w:firstLine="0"/>
    </w:pPr>
  </w:style>
  <w:style w:type="paragraph" w:styleId="ListNumber3">
    <w:name w:val="List Number 3"/>
    <w:basedOn w:val="List3"/>
    <w:rsid w:val="00BC1D94"/>
    <w:pPr>
      <w:numPr>
        <w:numId w:val="5"/>
      </w:numPr>
    </w:pPr>
  </w:style>
  <w:style w:type="paragraph" w:styleId="ListNumber4">
    <w:name w:val="List Number 4"/>
    <w:basedOn w:val="List4"/>
    <w:rsid w:val="00BC1D94"/>
    <w:pPr>
      <w:numPr>
        <w:numId w:val="6"/>
      </w:numPr>
    </w:pPr>
  </w:style>
  <w:style w:type="paragraph" w:styleId="ListNumber5">
    <w:name w:val="List Number 5"/>
    <w:basedOn w:val="List5"/>
    <w:rsid w:val="00BC1D94"/>
    <w:pPr>
      <w:numPr>
        <w:numId w:val="7"/>
      </w:numPr>
    </w:pPr>
  </w:style>
  <w:style w:type="paragraph" w:styleId="BlockText">
    <w:name w:val="Block Text"/>
    <w:basedOn w:val="Normal"/>
    <w:rsid w:val="00BC1D94"/>
    <w:pPr>
      <w:spacing w:after="120"/>
      <w:ind w:left="1440" w:right="1440"/>
    </w:pPr>
  </w:style>
  <w:style w:type="character" w:customStyle="1" w:styleId="Subscript">
    <w:name w:val="Subscript"/>
    <w:basedOn w:val="DefaultParagraphFont"/>
    <w:rsid w:val="00BC1D94"/>
    <w:rPr>
      <w:sz w:val="16"/>
      <w:vertAlign w:val="subscript"/>
    </w:rPr>
  </w:style>
  <w:style w:type="character" w:customStyle="1" w:styleId="Superscript">
    <w:name w:val="Superscript"/>
    <w:basedOn w:val="DefaultParagraphFont"/>
    <w:rsid w:val="00BC1D94"/>
    <w:rPr>
      <w:sz w:val="16"/>
      <w:vertAlign w:val="superscript"/>
    </w:rPr>
  </w:style>
  <w:style w:type="character" w:customStyle="1" w:styleId="Symbols">
    <w:name w:val="Symbols"/>
    <w:basedOn w:val="DefaultParagraphFont"/>
    <w:rsid w:val="00BC1D94"/>
    <w:rPr>
      <w:rFonts w:ascii="Symbol" w:hAnsi="Symbol"/>
    </w:rPr>
  </w:style>
  <w:style w:type="character" w:customStyle="1" w:styleId="MenuOptions">
    <w:name w:val="Menu Options"/>
    <w:basedOn w:val="DefaultParagraphFont"/>
    <w:rsid w:val="00BC1D94"/>
    <w:rPr>
      <w:rFonts w:ascii="Arial Narrow" w:hAnsi="Arial Narrow"/>
      <w:smallCaps/>
    </w:rPr>
  </w:style>
  <w:style w:type="character" w:customStyle="1" w:styleId="Buttons">
    <w:name w:val="Buttons"/>
    <w:basedOn w:val="DefaultParagraphFont"/>
    <w:rsid w:val="00BC1D94"/>
    <w:rPr>
      <w:b/>
    </w:rPr>
  </w:style>
  <w:style w:type="character" w:customStyle="1" w:styleId="Underlined">
    <w:name w:val="Underlined"/>
    <w:basedOn w:val="DefaultParagraphFont"/>
    <w:rsid w:val="00BC1D94"/>
    <w:rPr>
      <w:u w:val="single"/>
    </w:rPr>
  </w:style>
  <w:style w:type="paragraph" w:customStyle="1" w:styleId="TableBodyTextRight">
    <w:name w:val="Table Body Text Right"/>
    <w:basedOn w:val="TableBodyText"/>
    <w:rsid w:val="00BC1D94"/>
    <w:pPr>
      <w:widowControl w:val="0"/>
      <w:autoSpaceDE w:val="0"/>
      <w:autoSpaceDN w:val="0"/>
      <w:adjustRightInd w:val="0"/>
      <w:jc w:val="right"/>
    </w:pPr>
    <w:rPr>
      <w:rFonts w:cs="Arial"/>
      <w:szCs w:val="18"/>
    </w:rPr>
  </w:style>
  <w:style w:type="paragraph" w:customStyle="1" w:styleId="CopyrightText">
    <w:name w:val="Copyright Text"/>
    <w:basedOn w:val="BodyText"/>
    <w:rsid w:val="00BC1D94"/>
    <w:rPr>
      <w:sz w:val="18"/>
    </w:rPr>
  </w:style>
  <w:style w:type="paragraph" w:customStyle="1" w:styleId="BodySmallRight">
    <w:name w:val="Body Small Right"/>
    <w:basedOn w:val="BodyTextRight"/>
    <w:rsid w:val="00BC1D94"/>
    <w:rPr>
      <w:sz w:val="18"/>
      <w:szCs w:val="18"/>
    </w:rPr>
  </w:style>
  <w:style w:type="paragraph" w:customStyle="1" w:styleId="MarginEdition">
    <w:name w:val="Margin Edition"/>
    <w:basedOn w:val="MarginNote"/>
    <w:rsid w:val="00BC1D94"/>
    <w:pPr>
      <w:spacing w:before="0" w:after="0"/>
    </w:pPr>
    <w:rPr>
      <w:rFonts w:ascii="Times New Roman" w:hAnsi="Times New Roman"/>
      <w:color w:val="999999"/>
    </w:rPr>
  </w:style>
  <w:style w:type="paragraph" w:customStyle="1" w:styleId="Spacer">
    <w:name w:val="Spacer"/>
    <w:basedOn w:val="Normal"/>
    <w:rsid w:val="00BC1D94"/>
    <w:rPr>
      <w:sz w:val="2"/>
      <w:szCs w:val="2"/>
    </w:rPr>
  </w:style>
  <w:style w:type="character" w:customStyle="1" w:styleId="Small">
    <w:name w:val="Small"/>
    <w:basedOn w:val="DefaultParagraphFont"/>
    <w:rsid w:val="00BC1D94"/>
    <w:rPr>
      <w:sz w:val="16"/>
    </w:rPr>
  </w:style>
  <w:style w:type="paragraph" w:customStyle="1" w:styleId="WideTable">
    <w:name w:val="Wide Table"/>
    <w:basedOn w:val="Normal"/>
    <w:rsid w:val="00BC1D94"/>
    <w:pPr>
      <w:ind w:left="-1418"/>
    </w:pPr>
    <w:rPr>
      <w:sz w:val="2"/>
      <w:szCs w:val="2"/>
    </w:rPr>
  </w:style>
  <w:style w:type="character" w:styleId="PageNumber">
    <w:name w:val="page number"/>
    <w:basedOn w:val="DefaultParagraphFont"/>
    <w:rsid w:val="00BC1D94"/>
  </w:style>
  <w:style w:type="paragraph" w:styleId="Quote">
    <w:name w:val="Quote"/>
    <w:basedOn w:val="Heading1"/>
    <w:link w:val="QuoteChar"/>
    <w:qFormat/>
    <w:rsid w:val="00BC1D94"/>
    <w:rPr>
      <w:b w:val="0"/>
      <w:sz w:val="72"/>
      <w:szCs w:val="72"/>
      <w:lang w:val="en-NZ"/>
    </w:rPr>
  </w:style>
  <w:style w:type="character" w:customStyle="1" w:styleId="QuoteChar">
    <w:name w:val="Quote Char"/>
    <w:basedOn w:val="DefaultParagraphFont"/>
    <w:link w:val="Quote"/>
    <w:rsid w:val="00BC1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D94"/>
    <w:pPr>
      <w:pageBreakBefore/>
    </w:pPr>
  </w:style>
  <w:style w:type="paragraph" w:customStyle="1" w:styleId="Border">
    <w:name w:val="Border"/>
    <w:basedOn w:val="Normal"/>
    <w:qFormat/>
    <w:rsid w:val="00BC1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D94"/>
    <w:rPr>
      <w:b/>
      <w:bCs/>
      <w:i/>
      <w:iCs/>
      <w:color w:val="auto"/>
    </w:rPr>
  </w:style>
  <w:style w:type="paragraph" w:styleId="IntenseQuote">
    <w:name w:val="Intense Quote"/>
    <w:basedOn w:val="Normal"/>
    <w:next w:val="Normal"/>
    <w:link w:val="IntenseQuoteChar"/>
    <w:uiPriority w:val="30"/>
    <w:qFormat/>
    <w:rsid w:val="00BC1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D94"/>
    <w:rPr>
      <w:smallCaps/>
      <w:color w:val="auto"/>
      <w:u w:val="single"/>
    </w:rPr>
  </w:style>
  <w:style w:type="character" w:styleId="IntenseReference">
    <w:name w:val="Intense Reference"/>
    <w:basedOn w:val="DefaultParagraphFont"/>
    <w:uiPriority w:val="32"/>
    <w:qFormat/>
    <w:rsid w:val="00BC1D94"/>
    <w:rPr>
      <w:b/>
      <w:bCs/>
      <w:smallCaps/>
      <w:color w:val="auto"/>
      <w:spacing w:val="5"/>
      <w:u w:val="single"/>
    </w:rPr>
  </w:style>
  <w:style w:type="paragraph" w:customStyle="1" w:styleId="2ColumnHeading">
    <w:name w:val="2Column Heading"/>
    <w:basedOn w:val="BodyText"/>
    <w:qFormat/>
    <w:rsid w:val="00BC1D94"/>
    <w:pPr>
      <w:spacing w:after="60"/>
      <w:ind w:left="-2268"/>
    </w:pPr>
    <w:rPr>
      <w:b/>
    </w:rPr>
  </w:style>
  <w:style w:type="paragraph" w:customStyle="1" w:styleId="Heading1TOC">
    <w:name w:val="Heading1 TOC"/>
    <w:basedOn w:val="Normal"/>
    <w:qFormat/>
    <w:rsid w:val="00BC1D94"/>
    <w:pPr>
      <w:spacing w:before="240" w:after="120"/>
    </w:pPr>
    <w:rPr>
      <w:rFonts w:ascii="Times New Roman" w:hAnsi="Times New Roman"/>
      <w:b/>
      <w:sz w:val="32"/>
    </w:rPr>
  </w:style>
  <w:style w:type="paragraph" w:customStyle="1" w:styleId="Heading2TOC">
    <w:name w:val="Heading2 TOC"/>
    <w:basedOn w:val="Normal"/>
    <w:qFormat/>
    <w:rsid w:val="00BC1D94"/>
    <w:pPr>
      <w:spacing w:before="240" w:after="60"/>
    </w:pPr>
    <w:rPr>
      <w:rFonts w:ascii="Times New Roman" w:hAnsi="Times New Roman"/>
      <w:b/>
      <w:sz w:val="28"/>
    </w:rPr>
  </w:style>
  <w:style w:type="character" w:customStyle="1" w:styleId="Underline">
    <w:name w:val="Underline"/>
    <w:basedOn w:val="DefaultParagraphFont"/>
    <w:qFormat/>
    <w:rsid w:val="00BC1D94"/>
    <w:rPr>
      <w:u w:val="single"/>
    </w:rPr>
  </w:style>
  <w:style w:type="character" w:customStyle="1" w:styleId="BoldandItalics">
    <w:name w:val="Bold and Italics"/>
    <w:qFormat/>
    <w:rsid w:val="00BC1D94"/>
    <w:rPr>
      <w:b/>
      <w:i/>
      <w:u w:val="none"/>
    </w:rPr>
  </w:style>
  <w:style w:type="paragraph" w:styleId="BalloonText">
    <w:name w:val="Balloon Text"/>
    <w:basedOn w:val="Normal"/>
    <w:link w:val="BalloonTextChar"/>
    <w:rsid w:val="00BC1D94"/>
    <w:rPr>
      <w:rFonts w:ascii="Tahoma" w:hAnsi="Tahoma" w:cs="Tahoma"/>
      <w:sz w:val="16"/>
      <w:szCs w:val="16"/>
    </w:rPr>
  </w:style>
  <w:style w:type="character" w:customStyle="1" w:styleId="BalloonTextChar">
    <w:name w:val="Balloon Text Char"/>
    <w:basedOn w:val="DefaultParagraphFont"/>
    <w:link w:val="BalloonText"/>
    <w:rsid w:val="00BC1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D94"/>
    <w:rPr>
      <w:b/>
      <w:color w:val="660033"/>
      <w:spacing w:val="0"/>
    </w:rPr>
  </w:style>
  <w:style w:type="paragraph" w:customStyle="1" w:styleId="Nameditemlist">
    <w:name w:val="Named item list"/>
    <w:basedOn w:val="BodyText"/>
    <w:qFormat/>
    <w:rsid w:val="00BC1D94"/>
    <w:pPr>
      <w:tabs>
        <w:tab w:val="left" w:pos="2835"/>
      </w:tabs>
      <w:ind w:left="2835" w:hanging="2835"/>
    </w:pPr>
  </w:style>
  <w:style w:type="paragraph" w:customStyle="1" w:styleId="BodyTextnopadding">
    <w:name w:val="Body Text no padding"/>
    <w:basedOn w:val="BodyText"/>
    <w:qFormat/>
    <w:rsid w:val="00BC1D94"/>
    <w:pPr>
      <w:spacing w:before="0" w:after="0"/>
    </w:pPr>
  </w:style>
  <w:style w:type="character" w:styleId="Hyperlink">
    <w:name w:val="Hyperlink"/>
    <w:basedOn w:val="DefaultParagraphFont"/>
    <w:uiPriority w:val="99"/>
    <w:unhideWhenUsed/>
    <w:rsid w:val="00227A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7753</Characters>
  <Application>Microsoft Office Word</Application>
  <DocSecurity>0</DocSecurity>
  <Lines>242</Lines>
  <Paragraphs>172</Paragraphs>
  <ScaleCrop>false</ScaleCrop>
  <Company>Author-it Software Corporation Ltd.</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FBPBPG3010 Operate and monitor a carbonated beverage filling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