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6B85" w:rsidP="007D6B85">
      <w:pPr>
        <w:pStyle w:val="Title"/>
      </w:pPr>
      <w:r>
        <w:fldChar w:fldCharType="begin"/>
      </w:r>
      <w:r>
        <w:instrText xml:space="preserve"> TITLE   \* MERGEFORMAT </w:instrText>
      </w:r>
      <w:r>
        <w:fldChar w:fldCharType="separate"/>
      </w:r>
      <w:r>
        <w:t>Assessment Requirements for FBPBPG3010 Operate and monitor a carbonated beverage filling process</w:t>
      </w:r>
      <w:r>
        <w:fldChar w:fldCharType="end"/>
      </w:r>
    </w:p>
    <w:p w:rsidR="007D6B85" w:rsidP="007D6B85">
      <w:pPr>
        <w:pStyle w:val="Version"/>
        <w:sectPr w:rsidSect="00652B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2B68" w:rsidP="00652B68">
      <w:pPr>
        <w:pStyle w:val="SuperHeading"/>
      </w:pPr>
      <w:r w:rsidRPr="00652B68">
        <w:t>Assessment Requirements for FBPBPG3010 Operate and monitor a carbonated beverage filling process</w:t>
      </w:r>
    </w:p>
    <w:p w:rsidR="00000000" w:rsidRPr="00652B68" w:rsidP="00652B68">
      <w:pPr>
        <w:pStyle w:val="Heading1"/>
      </w:pPr>
      <w:bookmarkStart w:id="1" w:name="O_1186342"/>
      <w:bookmarkEnd w:id="1"/>
      <w:r w:rsidRPr="00652B68">
        <w:t>Modification History</w:t>
      </w:r>
    </w:p>
    <w:tbl>
      <w:tblPr>
        <w:tblW w:w="9520" w:type="dxa"/>
        <w:tblLayout w:type="fixed"/>
        <w:tblCellMar>
          <w:left w:w="62" w:type="dxa"/>
          <w:right w:w="62" w:type="dxa"/>
        </w:tblCellMar>
        <w:tblLook w:val="0000"/>
      </w:tblPr>
      <w:tblGrid>
        <w:gridCol w:w="2580"/>
        <w:gridCol w:w="6940"/>
      </w:tblGrid>
      <w:tr w:rsidTr="00652B6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2B68">
            <w:pPr>
              <w:pStyle w:val="BodyTextBold"/>
              <w:rPr>
                <w:lang w:val="en-NZ"/>
              </w:rPr>
            </w:pPr>
            <w:r w:rsidRPr="00652B68">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2B68">
            <w:pPr>
              <w:pStyle w:val="BodyTextBold"/>
              <w:rPr>
                <w:lang w:val="en-NZ"/>
              </w:rPr>
            </w:pPr>
            <w:r w:rsidRPr="00652B68">
              <w:t>Comments</w:t>
            </w:r>
          </w:p>
        </w:tc>
      </w:tr>
      <w:tr w:rsidTr="00652B6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2B68">
            <w:pPr>
              <w:pStyle w:val="BodyText"/>
              <w:rPr>
                <w:lang w:val="en-NZ"/>
              </w:rPr>
            </w:pPr>
            <w:r w:rsidRPr="00652B68">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2B68" w:rsidP="00652B68">
            <w:pPr>
              <w:pStyle w:val="BodyText"/>
            </w:pPr>
            <w:r w:rsidRPr="00652B68">
              <w:t>This version released with FBP Food, Beverage and Pharmaceutical Training Package Version 6.0.</w:t>
            </w:r>
          </w:p>
        </w:tc>
      </w:tr>
    </w:tbl>
    <w:p w:rsidR="00000000" w:rsidRPr="00652B68" w:rsidP="00652B68">
      <w:pPr>
        <w:pStyle w:val="BodyText"/>
      </w:pPr>
    </w:p>
    <w:p w:rsidR="00000000" w:rsidRPr="00652B68" w:rsidP="00652B68">
      <w:pPr>
        <w:pStyle w:val="AllowPageBreak"/>
      </w:pPr>
    </w:p>
    <w:p w:rsidR="00000000" w:rsidRPr="00652B68" w:rsidP="00652B68">
      <w:pPr>
        <w:pStyle w:val="Heading1"/>
      </w:pPr>
      <w:bookmarkStart w:id="2" w:name="O_1186343"/>
      <w:bookmarkEnd w:id="2"/>
      <w:r w:rsidRPr="00652B68">
        <w:t>Performance Evidence</w:t>
      </w:r>
    </w:p>
    <w:p w:rsidR="00000000" w:rsidRPr="00652B68" w:rsidP="007D6B85">
      <w:pPr>
        <w:pStyle w:val="BodyText"/>
      </w:pPr>
      <w:r w:rsidRPr="00652B68">
        <w:t>An individual demonstrating competency must satisfy all of the elements and performance criteria in this unit.</w:t>
      </w:r>
    </w:p>
    <w:p w:rsidR="00000000" w:rsidRPr="00652B68" w:rsidP="007D6B85">
      <w:pPr>
        <w:pStyle w:val="BodyText"/>
      </w:pPr>
      <w:r w:rsidRPr="00652B68">
        <w:t>There mu</w:t>
      </w:r>
      <w:r w:rsidRPr="00652B68">
        <w:t>st be evidence that the individual has set up, operated, adjusted and shut down a filling process for at least one batch of carbonated beverage, including:</w:t>
      </w:r>
    </w:p>
    <w:p w:rsidR="00000000" w:rsidRPr="00652B68" w:rsidP="00652B68">
      <w:pPr>
        <w:pStyle w:val="ListBullet"/>
      </w:pPr>
      <w:r w:rsidRPr="00652B68">
        <w:t>applying food safety procedures to work practices</w:t>
      </w:r>
    </w:p>
    <w:p w:rsidR="00000000" w:rsidRPr="00652B68" w:rsidP="00652B68">
      <w:pPr>
        <w:pStyle w:val="ListBullet"/>
      </w:pPr>
      <w:r w:rsidRPr="00652B68">
        <w:t>following safe work procedures</w:t>
      </w:r>
    </w:p>
    <w:p w:rsidR="00000000" w:rsidRPr="00652B68" w:rsidP="00652B68">
      <w:pPr>
        <w:pStyle w:val="ListBullet"/>
      </w:pPr>
      <w:r w:rsidRPr="00652B68">
        <w:t>clearing routine j</w:t>
      </w:r>
      <w:r w:rsidRPr="00652B68">
        <w:t>ams and rectifying routine problems.</w:t>
      </w:r>
    </w:p>
    <w:p w:rsidR="00000000" w:rsidRPr="00652B68" w:rsidP="00652B68">
      <w:pPr>
        <w:pStyle w:val="AllowPageBreak"/>
      </w:pPr>
    </w:p>
    <w:p w:rsidR="00000000" w:rsidRPr="00652B68" w:rsidP="00652B68">
      <w:pPr>
        <w:pStyle w:val="Heading1"/>
      </w:pPr>
      <w:bookmarkStart w:id="3" w:name="O_1186344"/>
      <w:bookmarkEnd w:id="3"/>
      <w:r w:rsidRPr="00652B68">
        <w:t>Knowledge Evidence</w:t>
      </w:r>
    </w:p>
    <w:p w:rsidR="00000000" w:rsidRPr="00652B68" w:rsidP="007D6B85">
      <w:pPr>
        <w:pStyle w:val="BodyText"/>
      </w:pPr>
      <w:r w:rsidRPr="00652B68">
        <w:t>An individual must be able to demonstrate the knowledge required to perform the tasks outlined in the elements and performance criteria of this unit. This includes knowledge of:</w:t>
      </w:r>
    </w:p>
    <w:p w:rsidR="00000000" w:rsidRPr="00652B68" w:rsidP="00652B68">
      <w:pPr>
        <w:pStyle w:val="ListBullet"/>
      </w:pPr>
      <w:r w:rsidRPr="00652B68">
        <w:t>re</w:t>
      </w:r>
      <w:r w:rsidRPr="00652B68">
        <w:t>lationship between the filling process, production and packaging operations</w:t>
      </w:r>
    </w:p>
    <w:p w:rsidR="00000000" w:rsidRPr="00652B68" w:rsidP="00652B68">
      <w:pPr>
        <w:pStyle w:val="ListBullet"/>
      </w:pPr>
      <w:r w:rsidRPr="00652B68">
        <w:t>requirements of the filling process specific to product</w:t>
      </w:r>
    </w:p>
    <w:p w:rsidR="00000000" w:rsidRPr="00652B68" w:rsidP="00652B68">
      <w:pPr>
        <w:pStyle w:val="ListBullet"/>
      </w:pPr>
      <w:r w:rsidRPr="00652B68">
        <w:t>requirements of pre-start checks, including:</w:t>
      </w:r>
    </w:p>
    <w:p w:rsidR="00000000" w:rsidRPr="00652B68" w:rsidP="00652B68">
      <w:pPr>
        <w:pStyle w:val="ListBullet2"/>
      </w:pPr>
      <w:r w:rsidRPr="00652B68">
        <w:t>inspecting equipment condition to identify any signs of wear</w:t>
      </w:r>
    </w:p>
    <w:p w:rsidR="00000000" w:rsidRPr="00652B68" w:rsidP="00652B68">
      <w:pPr>
        <w:pStyle w:val="ListBullet2"/>
      </w:pPr>
      <w:r w:rsidRPr="00652B68">
        <w:t>selecting appropr</w:t>
      </w:r>
      <w:r w:rsidRPr="00652B68">
        <w:t>iate settings and/or related parameters</w:t>
      </w:r>
    </w:p>
    <w:p w:rsidR="00000000" w:rsidRPr="00652B68" w:rsidP="00652B68">
      <w:pPr>
        <w:pStyle w:val="ListBullet2"/>
      </w:pPr>
      <w:r w:rsidRPr="00652B68">
        <w:t>cancelling isolation or lock-outs</w:t>
      </w:r>
    </w:p>
    <w:p w:rsidR="00000000" w:rsidRPr="00652B68" w:rsidP="00652B68">
      <w:pPr>
        <w:pStyle w:val="ListBullet2"/>
      </w:pPr>
      <w:r w:rsidRPr="00652B68">
        <w:t>confirming that equipment is clean and correctly configured for processing requirements</w:t>
      </w:r>
    </w:p>
    <w:p w:rsidR="00000000" w:rsidRPr="00652B68" w:rsidP="00652B68">
      <w:pPr>
        <w:pStyle w:val="ListBullet2"/>
      </w:pPr>
      <w:r w:rsidRPr="00652B68">
        <w:t>positioning sensors and controls correctly</w:t>
      </w:r>
    </w:p>
    <w:p w:rsidR="00000000" w:rsidRPr="00652B68" w:rsidP="00652B68">
      <w:pPr>
        <w:pStyle w:val="ListBullet2"/>
      </w:pPr>
      <w:r w:rsidRPr="00652B68">
        <w:t>ensuring any scheduled maintenance has been carried</w:t>
      </w:r>
      <w:r w:rsidRPr="00652B68">
        <w:t xml:space="preserve"> out</w:t>
      </w:r>
    </w:p>
    <w:p w:rsidR="00000000" w:rsidRPr="00652B68" w:rsidP="00652B68">
      <w:pPr>
        <w:pStyle w:val="ListBullet2"/>
      </w:pPr>
      <w:r w:rsidRPr="00652B68">
        <w:t>confirming that all safety guards are in place and operational</w:t>
      </w:r>
    </w:p>
    <w:p w:rsidR="00000000" w:rsidRPr="00652B68" w:rsidP="00652B68">
      <w:pPr>
        <w:pStyle w:val="ListBullet"/>
      </w:pPr>
      <w:r w:rsidRPr="00652B68">
        <w:t xml:space="preserve">types of fillers used </w:t>
      </w:r>
    </w:p>
    <w:p w:rsidR="00000000" w:rsidRPr="00652B68" w:rsidP="00652B68">
      <w:pPr>
        <w:pStyle w:val="ListBullet"/>
      </w:pPr>
      <w:r w:rsidRPr="00652B68">
        <w:t>typical faults that occur and how they can be rectified, including:</w:t>
      </w:r>
    </w:p>
    <w:p w:rsidR="00000000" w:rsidRPr="00652B68" w:rsidP="00652B68">
      <w:pPr>
        <w:pStyle w:val="ListBullet2"/>
      </w:pPr>
      <w:r w:rsidRPr="00652B68">
        <w:t>flow rates/quantity</w:t>
      </w:r>
    </w:p>
    <w:p w:rsidR="00000000" w:rsidRPr="00652B68" w:rsidP="00652B68">
      <w:pPr>
        <w:pStyle w:val="ListBullet2"/>
      </w:pPr>
      <w:r w:rsidRPr="00652B68">
        <w:t>broken or faulty containers</w:t>
      </w:r>
    </w:p>
    <w:p w:rsidR="00000000" w:rsidRPr="00652B68" w:rsidP="00652B68">
      <w:pPr>
        <w:pStyle w:val="ListBullet2"/>
      </w:pPr>
      <w:r w:rsidRPr="00652B68">
        <w:t>contaminated product</w:t>
      </w:r>
    </w:p>
    <w:p w:rsidR="00000000" w:rsidRPr="00652B68" w:rsidP="00652B68">
      <w:pPr>
        <w:pStyle w:val="ListBullet2"/>
      </w:pPr>
      <w:r w:rsidRPr="00652B68">
        <w:t>equipment faults</w:t>
      </w:r>
    </w:p>
    <w:p w:rsidR="00000000" w:rsidRPr="00652B68" w:rsidP="00652B68">
      <w:pPr>
        <w:pStyle w:val="ListBullet2"/>
      </w:pPr>
      <w:r w:rsidRPr="00652B68">
        <w:t>services faults</w:t>
      </w:r>
    </w:p>
    <w:p w:rsidR="00000000" w:rsidRPr="00652B68" w:rsidP="00652B68">
      <w:pPr>
        <w:pStyle w:val="ListBullet"/>
      </w:pPr>
      <w:r w:rsidRPr="00652B68">
        <w:t>common microbiological, physical, chemical and allergen hazards related to the foods handled in the work area, including the types of hazards likely to occur, the conditions under which they occur, possible consequences, and control method</w:t>
      </w:r>
      <w:r w:rsidRPr="00652B68">
        <w:t>s to prevent occurrence</w:t>
      </w:r>
    </w:p>
    <w:p w:rsidR="00000000" w:rsidRPr="00652B68" w:rsidP="00652B68">
      <w:pPr>
        <w:pStyle w:val="ListBullet"/>
      </w:pPr>
      <w:r w:rsidRPr="00652B68">
        <w:t>aseptic filling and sealing requirements</w:t>
      </w:r>
    </w:p>
    <w:p w:rsidR="00000000" w:rsidRPr="00652B68" w:rsidP="00652B68">
      <w:pPr>
        <w:pStyle w:val="ListBullet"/>
      </w:pPr>
      <w:r w:rsidRPr="00652B68">
        <w:t>contamination/cross-contamination and food safety risks associated with the filling process, and related control measures</w:t>
      </w:r>
    </w:p>
    <w:p w:rsidR="00000000" w:rsidRPr="00652B68" w:rsidP="00652B68">
      <w:pPr>
        <w:pStyle w:val="ListBullet"/>
      </w:pPr>
      <w:r w:rsidRPr="00652B68">
        <w:t>quality characteristics to be identified, including levels of dissolv</w:t>
      </w:r>
      <w:r w:rsidRPr="00652B68">
        <w:t>ed oxygen and carbon dioxide</w:t>
      </w:r>
    </w:p>
    <w:p w:rsidR="00000000" w:rsidRPr="00652B68" w:rsidP="00652B68">
      <w:pPr>
        <w:pStyle w:val="ListBullet"/>
      </w:pPr>
      <w:r w:rsidRPr="00652B68">
        <w:t>process specifications, procedures and operating parameters</w:t>
      </w:r>
    </w:p>
    <w:p w:rsidR="00000000" w:rsidRPr="00652B68" w:rsidP="00652B68">
      <w:pPr>
        <w:pStyle w:val="ListBullet"/>
      </w:pPr>
      <w:r w:rsidRPr="00652B68">
        <w:t>significance and methods of monitoring control points within the beverage filling process</w:t>
      </w:r>
    </w:p>
    <w:p w:rsidR="00000000" w:rsidRPr="00652B68" w:rsidP="00652B68">
      <w:pPr>
        <w:pStyle w:val="ListBullet"/>
      </w:pPr>
      <w:r w:rsidRPr="00652B68">
        <w:t xml:space="preserve">equipment and instrumentation used for filling </w:t>
      </w:r>
    </w:p>
    <w:p w:rsidR="00000000" w:rsidRPr="00652B68" w:rsidP="00652B68">
      <w:pPr>
        <w:pStyle w:val="ListBullet"/>
      </w:pPr>
      <w:r w:rsidRPr="00652B68">
        <w:t xml:space="preserve">services used in the filling </w:t>
      </w:r>
      <w:r w:rsidRPr="00652B68">
        <w:t>process</w:t>
      </w:r>
    </w:p>
    <w:p w:rsidR="00000000" w:rsidRPr="00652B68" w:rsidP="00652B68">
      <w:pPr>
        <w:pStyle w:val="ListBullet"/>
      </w:pPr>
      <w:r w:rsidRPr="00652B68">
        <w:t>common causes of variation, and corrective action required</w:t>
      </w:r>
    </w:p>
    <w:p w:rsidR="00000000" w:rsidRPr="00652B68" w:rsidP="00652B68">
      <w:pPr>
        <w:pStyle w:val="ListBullet"/>
      </w:pPr>
      <w:r w:rsidRPr="00652B68">
        <w:t>good manufacturing practices (GMP) relevant to work task</w:t>
      </w:r>
    </w:p>
    <w:p w:rsidR="00000000" w:rsidRPr="00652B68" w:rsidP="00652B68">
      <w:pPr>
        <w:pStyle w:val="ListBullet"/>
      </w:pPr>
      <w:r w:rsidRPr="00652B68">
        <w:t>workplace procedures and responsibility for reporting problems</w:t>
      </w:r>
    </w:p>
    <w:p w:rsidR="00000000" w:rsidRPr="00652B68" w:rsidP="00652B68">
      <w:pPr>
        <w:pStyle w:val="ListBullet"/>
      </w:pPr>
      <w:r w:rsidRPr="00652B68">
        <w:t>shutdown and cleaning requirements associated with changeovers, and types of shutdowns</w:t>
      </w:r>
    </w:p>
    <w:p w:rsidR="00000000" w:rsidRPr="00652B68" w:rsidP="00652B68">
      <w:pPr>
        <w:pStyle w:val="ListBullet"/>
      </w:pPr>
      <w:r w:rsidRPr="00652B68">
        <w:t>waste handling requirements and procedures relevant to the filling process</w:t>
      </w:r>
    </w:p>
    <w:p w:rsidR="00000000" w:rsidRPr="00652B68" w:rsidP="00652B68">
      <w:pPr>
        <w:pStyle w:val="ListBullet"/>
      </w:pPr>
      <w:r w:rsidRPr="00652B68">
        <w:t>recording requirements and procedures, including down time</w:t>
      </w:r>
    </w:p>
    <w:p w:rsidR="00000000" w:rsidRPr="00652B68" w:rsidP="00652B68">
      <w:pPr>
        <w:pStyle w:val="ListBullet"/>
      </w:pPr>
      <w:r w:rsidRPr="00652B68">
        <w:t>environmental issues and controls r</w:t>
      </w:r>
      <w:r w:rsidRPr="00652B68">
        <w:t>elevant to the filling and sealing process, including waste/rework collection and handling procedures related to the process</w:t>
      </w:r>
    </w:p>
    <w:p w:rsidR="00000000" w:rsidRPr="00652B68" w:rsidP="00652B68">
      <w:pPr>
        <w:pStyle w:val="ListBullet"/>
      </w:pPr>
      <w:r w:rsidRPr="00652B68">
        <w:t>basic operating principles of process control, including the relationship between control panels and systems and the physical equip</w:t>
      </w:r>
      <w:r w:rsidRPr="00652B68">
        <w:t>ment</w:t>
      </w:r>
    </w:p>
    <w:p w:rsidR="00000000" w:rsidRPr="00652B68" w:rsidP="00652B68">
      <w:pPr>
        <w:pStyle w:val="ListBullet"/>
      </w:pPr>
      <w:r w:rsidRPr="00652B68">
        <w:t>cleaning and sanitisation procedures for filling process</w:t>
      </w:r>
    </w:p>
    <w:p w:rsidR="00000000" w:rsidRPr="00652B68" w:rsidP="00652B68">
      <w:pPr>
        <w:pStyle w:val="ListBullet"/>
      </w:pPr>
      <w:r w:rsidRPr="00652B68">
        <w:t>traceability requirements.</w:t>
      </w:r>
    </w:p>
    <w:p w:rsidR="00000000" w:rsidRPr="00652B68" w:rsidP="00652B68">
      <w:pPr>
        <w:pStyle w:val="AllowPageBreak"/>
      </w:pPr>
    </w:p>
    <w:p w:rsidR="00000000" w:rsidRPr="00652B68" w:rsidP="00652B68">
      <w:pPr>
        <w:pStyle w:val="Heading1"/>
      </w:pPr>
      <w:bookmarkStart w:id="4" w:name="O_1186345"/>
      <w:bookmarkEnd w:id="4"/>
      <w:r w:rsidRPr="00652B68">
        <w:t>Assessment Conditions</w:t>
      </w:r>
    </w:p>
    <w:p w:rsidR="00000000" w:rsidRPr="00652B68" w:rsidP="007D6B85">
      <w:pPr>
        <w:pStyle w:val="BodyText"/>
      </w:pPr>
      <w:r w:rsidRPr="00652B68">
        <w:t>Assessment of the skills in this unit of competency must take place under the following conditions:</w:t>
      </w:r>
    </w:p>
    <w:p w:rsidR="00000000" w:rsidRPr="00652B68" w:rsidP="00652B68">
      <w:pPr>
        <w:pStyle w:val="ListBullet"/>
      </w:pPr>
      <w:r w:rsidRPr="00652B68">
        <w:t>physical conditions:</w:t>
      </w:r>
    </w:p>
    <w:p w:rsidR="00000000" w:rsidRPr="00652B68" w:rsidP="00652B68">
      <w:pPr>
        <w:pStyle w:val="ListBullet2"/>
      </w:pPr>
      <w:r w:rsidRPr="00652B68">
        <w:t>a f</w:t>
      </w:r>
      <w:r w:rsidRPr="00652B68">
        <w:t>ood or beverage processing workplace or an environment that accurately represents workplace conditions</w:t>
      </w:r>
    </w:p>
    <w:p w:rsidR="00000000" w:rsidRPr="00652B68" w:rsidP="00652B68">
      <w:pPr>
        <w:pStyle w:val="ListBullet"/>
      </w:pPr>
      <w:r w:rsidRPr="00652B68">
        <w:t>resources, equipment and materials:</w:t>
      </w:r>
    </w:p>
    <w:p w:rsidR="00000000" w:rsidRPr="00652B68" w:rsidP="00652B68">
      <w:pPr>
        <w:pStyle w:val="ListBullet2"/>
      </w:pPr>
      <w:r w:rsidRPr="00652B68">
        <w:t>personal protective clothing and equipment</w:t>
      </w:r>
    </w:p>
    <w:p w:rsidR="00000000" w:rsidRPr="00652B68" w:rsidP="00652B68">
      <w:pPr>
        <w:pStyle w:val="ListBullet2"/>
      </w:pPr>
      <w:r w:rsidRPr="00652B68">
        <w:t>filling equipment and services</w:t>
      </w:r>
    </w:p>
    <w:p w:rsidR="00000000" w:rsidRPr="00652B68" w:rsidP="00652B68">
      <w:pPr>
        <w:pStyle w:val="ListBullet2"/>
      </w:pPr>
      <w:r w:rsidRPr="00652B68">
        <w:t>product to be filled</w:t>
      </w:r>
    </w:p>
    <w:p w:rsidR="00000000" w:rsidRPr="00652B68" w:rsidP="00652B68">
      <w:pPr>
        <w:pStyle w:val="ListBullet2"/>
      </w:pPr>
      <w:r w:rsidRPr="00652B68">
        <w:t>containers</w:t>
      </w:r>
    </w:p>
    <w:p w:rsidR="00000000" w:rsidRPr="00652B68" w:rsidP="00652B68">
      <w:pPr>
        <w:pStyle w:val="ListBullet2"/>
      </w:pPr>
      <w:r w:rsidRPr="00652B68">
        <w:t>cleaning equipment and materials</w:t>
      </w:r>
    </w:p>
    <w:p w:rsidR="00000000" w:rsidRPr="00652B68" w:rsidP="00652B68">
      <w:pPr>
        <w:pStyle w:val="ListBullet"/>
      </w:pPr>
      <w:r w:rsidRPr="00652B68">
        <w:t>specifications:</w:t>
      </w:r>
    </w:p>
    <w:p w:rsidR="00000000" w:rsidRPr="00652B68" w:rsidP="00652B68">
      <w:pPr>
        <w:pStyle w:val="ListBullet2"/>
      </w:pPr>
      <w:r w:rsidRPr="00652B68">
        <w:t>work procedures, including advice on safe work practices, food safety and environmental requirements</w:t>
      </w:r>
    </w:p>
    <w:p w:rsidR="00000000" w:rsidRPr="00652B68" w:rsidP="00652B68">
      <w:pPr>
        <w:pStyle w:val="ListBullet2"/>
      </w:pPr>
      <w:r w:rsidRPr="00652B68">
        <w:t>production schedule, batch instructions, control points and filling parameters</w:t>
      </w:r>
    </w:p>
    <w:p w:rsidR="00000000" w:rsidRPr="00652B68" w:rsidP="00652B68">
      <w:pPr>
        <w:pStyle w:val="ListBullet2"/>
      </w:pPr>
      <w:r w:rsidRPr="00652B68">
        <w:t>sampling and testing sche</w:t>
      </w:r>
      <w:r w:rsidRPr="00652B68">
        <w:t xml:space="preserve">dules </w:t>
      </w:r>
    </w:p>
    <w:p w:rsidR="00000000" w:rsidRPr="00652B68" w:rsidP="00652B68">
      <w:pPr>
        <w:pStyle w:val="ListBullet2"/>
      </w:pPr>
      <w:r w:rsidRPr="00652B68">
        <w:t>documentation and recording requirements.</w:t>
      </w:r>
    </w:p>
    <w:p w:rsidR="00000000" w:rsidRPr="00652B68" w:rsidP="007D6B85">
      <w:pPr>
        <w:pStyle w:val="BodyText"/>
      </w:pPr>
      <w:r w:rsidRPr="00652B68">
        <w:t>Assessors of this unit must satisfy the requirements for assessors in applicable vocational education and training legislation, frameworks and/or standards.</w:t>
      </w:r>
    </w:p>
    <w:p w:rsidR="00000000" w:rsidRPr="00652B68" w:rsidP="00652B68">
      <w:pPr>
        <w:pStyle w:val="Heading1"/>
      </w:pPr>
      <w:bookmarkStart w:id="5" w:name="O_1186348"/>
      <w:bookmarkEnd w:id="5"/>
      <w:r w:rsidRPr="00652B68">
        <w:t>Links</w:t>
      </w:r>
    </w:p>
    <w:p w:rsidR="00000000" w:rsidRPr="00652B68" w:rsidP="007D6B85">
      <w:pPr>
        <w:pStyle w:val="BodyText"/>
      </w:pPr>
      <w:r w:rsidRPr="00652B68">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954520">
        <w:rPr>
          <w:rStyle w:val="Hyperlink"/>
        </w:rPr>
        <w:t>https://vetnet.gov.au/Pages/TrainingDocs.aspx?q=78b15323-cd38-483e-aad7-1159b570a5c4</w:t>
      </w:r>
      <w:r>
        <w:fldChar w:fldCharType="end"/>
      </w:r>
    </w:p>
    <w:p w:rsidR="00000000" w:rsidRPr="00652B68" w:rsidP="00652B68"/>
    <w:sectPr w:rsidSect="00652B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B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B68" w:rsidRPr="007D6B85" w:rsidP="007D6B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B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B85" w:rsidP="00652B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D6B85" w:rsidP="00652B6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7D6B85" w:rsidP="00652B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B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B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2B68" w:rsidRPr="007D6B85" w:rsidP="007D6B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B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B85" w:rsidRPr="002D2AF8" w:rsidP="00652B68">
    <w:pPr>
      <w:pStyle w:val="Header"/>
      <w:framePr w:wrap="around"/>
    </w:pPr>
    <w:r>
      <w:fldChar w:fldCharType="begin"/>
    </w:r>
    <w:r>
      <w:instrText xml:space="preserve"> TITLE   \* MERGEFORMAT </w:instrText>
    </w:r>
    <w:r>
      <w:fldChar w:fldCharType="separate"/>
    </w:r>
    <w:r>
      <w:t>Assessment Requirements for FBPBPG3010 Operate and monitor a carbonated beverage filling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2022</w:t>
    </w:r>
    <w:r>
      <w:fldChar w:fldCharType="end"/>
    </w:r>
  </w:p>
  <w:p w:rsidR="007D6B85" w:rsidP="00652B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C212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A421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BABE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2B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2B68"/>
    <w:pPr>
      <w:spacing w:before="360" w:after="60"/>
      <w:outlineLvl w:val="0"/>
    </w:pPr>
    <w:rPr>
      <w:sz w:val="32"/>
    </w:rPr>
  </w:style>
  <w:style w:type="paragraph" w:styleId="Heading2">
    <w:name w:val="heading 2"/>
    <w:basedOn w:val="HeadingBase"/>
    <w:next w:val="BodyText"/>
    <w:link w:val="Heading2Char"/>
    <w:qFormat/>
    <w:rsid w:val="00652B68"/>
    <w:pPr>
      <w:keepLines/>
      <w:spacing w:before="240" w:after="120"/>
      <w:outlineLvl w:val="1"/>
    </w:pPr>
    <w:rPr>
      <w:sz w:val="28"/>
      <w:szCs w:val="40"/>
    </w:rPr>
  </w:style>
  <w:style w:type="paragraph" w:styleId="Heading3">
    <w:name w:val="heading 3"/>
    <w:basedOn w:val="HeadingBase"/>
    <w:next w:val="BodyText"/>
    <w:link w:val="Heading3Char"/>
    <w:qFormat/>
    <w:rsid w:val="00652B68"/>
    <w:pPr>
      <w:spacing w:before="180" w:after="120"/>
      <w:outlineLvl w:val="2"/>
    </w:pPr>
    <w:rPr>
      <w:spacing w:val="-10"/>
      <w:kern w:val="32"/>
    </w:rPr>
  </w:style>
  <w:style w:type="paragraph" w:styleId="Heading4">
    <w:name w:val="heading 4"/>
    <w:basedOn w:val="HeadingBase"/>
    <w:next w:val="BodyText"/>
    <w:link w:val="Heading4Char"/>
    <w:qFormat/>
    <w:rsid w:val="00652B68"/>
    <w:pPr>
      <w:spacing w:before="160" w:after="120"/>
      <w:outlineLvl w:val="3"/>
    </w:pPr>
    <w:rPr>
      <w:sz w:val="22"/>
    </w:rPr>
  </w:style>
  <w:style w:type="paragraph" w:styleId="Heading5">
    <w:name w:val="heading 5"/>
    <w:basedOn w:val="HeadingBase"/>
    <w:next w:val="Normal"/>
    <w:link w:val="Heading5Char"/>
    <w:qFormat/>
    <w:rsid w:val="00652B68"/>
    <w:pPr>
      <w:spacing w:before="80"/>
      <w:outlineLvl w:val="4"/>
    </w:pPr>
    <w:rPr>
      <w:color w:val="918585"/>
      <w:sz w:val="20"/>
    </w:rPr>
  </w:style>
  <w:style w:type="paragraph" w:styleId="Heading6">
    <w:name w:val="heading 6"/>
    <w:basedOn w:val="HeadingBase"/>
    <w:next w:val="Normal"/>
    <w:link w:val="Heading6Char"/>
    <w:qFormat/>
    <w:rsid w:val="00652B68"/>
    <w:pPr>
      <w:spacing w:before="60"/>
      <w:outlineLvl w:val="5"/>
    </w:pPr>
    <w:rPr>
      <w:color w:val="918585"/>
      <w:sz w:val="20"/>
    </w:rPr>
  </w:style>
  <w:style w:type="paragraph" w:styleId="Heading7">
    <w:name w:val="heading 7"/>
    <w:basedOn w:val="Normal"/>
    <w:next w:val="Normal"/>
    <w:link w:val="Heading7Char"/>
    <w:qFormat/>
    <w:rsid w:val="00652B68"/>
    <w:pPr>
      <w:ind w:left="720"/>
      <w:outlineLvl w:val="6"/>
    </w:pPr>
    <w:rPr>
      <w:i/>
    </w:rPr>
  </w:style>
  <w:style w:type="paragraph" w:styleId="Heading8">
    <w:name w:val="heading 8"/>
    <w:basedOn w:val="Normal"/>
    <w:next w:val="Normal"/>
    <w:link w:val="Heading8Char"/>
    <w:qFormat/>
    <w:rsid w:val="00652B68"/>
    <w:pPr>
      <w:ind w:left="720"/>
      <w:outlineLvl w:val="7"/>
    </w:pPr>
    <w:rPr>
      <w:i/>
    </w:rPr>
  </w:style>
  <w:style w:type="paragraph" w:styleId="Heading9">
    <w:name w:val="heading 9"/>
    <w:basedOn w:val="Normal"/>
    <w:next w:val="Normal"/>
    <w:link w:val="Heading9Char"/>
    <w:qFormat/>
    <w:rsid w:val="00652B68"/>
    <w:pPr>
      <w:ind w:left="720"/>
      <w:outlineLvl w:val="8"/>
    </w:pPr>
    <w:rPr>
      <w:i/>
    </w:rPr>
  </w:style>
  <w:style w:type="character" w:default="1" w:styleId="DefaultParagraphFont">
    <w:name w:val="Default Paragraph Font"/>
    <w:uiPriority w:val="1"/>
    <w:unhideWhenUsed/>
    <w:rsid w:val="00652B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2B68"/>
  </w:style>
  <w:style w:type="character" w:customStyle="1" w:styleId="Heading1Char">
    <w:name w:val="Heading 1 Char"/>
    <w:basedOn w:val="DefaultParagraphFont"/>
    <w:link w:val="Heading1"/>
    <w:rsid w:val="00652B68"/>
    <w:rPr>
      <w:rFonts w:ascii="Times New Roman" w:eastAsia="Times New Roman" w:hAnsi="Times New Roman" w:cs="Times New Roman"/>
      <w:b/>
      <w:sz w:val="32"/>
      <w:szCs w:val="20"/>
      <w:lang w:eastAsia="en-US"/>
    </w:rPr>
  </w:style>
  <w:style w:type="paragraph" w:styleId="BodyText">
    <w:name w:val="Body Text"/>
    <w:basedOn w:val="Normal"/>
    <w:link w:val="BodyTextChar"/>
    <w:rsid w:val="00652B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2B68"/>
    <w:rPr>
      <w:rFonts w:ascii="Times New Roman" w:eastAsia="Times New Roman" w:hAnsi="Times New Roman" w:cs="Times New Roman"/>
      <w:sz w:val="24"/>
      <w:lang w:eastAsia="en-US"/>
    </w:rPr>
  </w:style>
  <w:style w:type="paragraph" w:styleId="ListBullet">
    <w:name w:val="List Bullet"/>
    <w:basedOn w:val="List"/>
    <w:rsid w:val="00652B68"/>
    <w:pPr>
      <w:numPr>
        <w:numId w:val="12"/>
      </w:numPr>
      <w:tabs>
        <w:tab w:val="clear" w:pos="340"/>
      </w:tabs>
      <w:spacing w:before="40" w:after="40"/>
    </w:pPr>
  </w:style>
  <w:style w:type="paragraph" w:styleId="ListBullet2">
    <w:name w:val="List Bullet 2"/>
    <w:basedOn w:val="List2"/>
    <w:rsid w:val="00652B68"/>
    <w:pPr>
      <w:numPr>
        <w:numId w:val="13"/>
      </w:numPr>
      <w:tabs>
        <w:tab w:val="clear" w:pos="680"/>
      </w:tabs>
    </w:pPr>
  </w:style>
  <w:style w:type="paragraph" w:customStyle="1" w:styleId="SuperHeading">
    <w:name w:val="SuperHeading"/>
    <w:basedOn w:val="Normal"/>
    <w:rsid w:val="00652B68"/>
    <w:pPr>
      <w:spacing w:before="240" w:after="120"/>
      <w:outlineLvl w:val="0"/>
    </w:pPr>
    <w:rPr>
      <w:rFonts w:ascii="Times New Roman" w:hAnsi="Times New Roman"/>
      <w:b/>
      <w:sz w:val="32"/>
    </w:rPr>
  </w:style>
  <w:style w:type="paragraph" w:customStyle="1" w:styleId="AllowPageBreak">
    <w:name w:val="AllowPageBreak"/>
    <w:rsid w:val="00652B6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52B68"/>
    <w:rPr>
      <w:b/>
    </w:rPr>
  </w:style>
  <w:style w:type="character" w:customStyle="1" w:styleId="Heading2Char">
    <w:name w:val="Heading 2 Char"/>
    <w:basedOn w:val="DefaultParagraphFont"/>
    <w:link w:val="Heading2"/>
    <w:rsid w:val="00652B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2B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2B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2B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2B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2B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2B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2B68"/>
    <w:rPr>
      <w:rFonts w:ascii="Courier New" w:eastAsia="Times New Roman" w:hAnsi="Courier New" w:cs="Times New Roman"/>
      <w:i/>
      <w:szCs w:val="20"/>
      <w:lang w:eastAsia="en-US"/>
    </w:rPr>
  </w:style>
  <w:style w:type="paragraph" w:customStyle="1" w:styleId="HeadingBase">
    <w:name w:val="Heading Base"/>
    <w:rsid w:val="00652B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2B68"/>
    <w:pPr>
      <w:tabs>
        <w:tab w:val="right" w:leader="dot" w:pos="9072"/>
      </w:tabs>
      <w:ind w:left="567"/>
    </w:pPr>
    <w:rPr>
      <w:szCs w:val="22"/>
    </w:rPr>
  </w:style>
  <w:style w:type="paragraph" w:customStyle="1" w:styleId="TOCBase">
    <w:name w:val="TOC Base"/>
    <w:rsid w:val="00652B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2B68"/>
    <w:pPr>
      <w:tabs>
        <w:tab w:val="right" w:leader="dot" w:pos="9072"/>
      </w:tabs>
      <w:spacing w:before="40" w:after="40"/>
      <w:ind w:left="284"/>
    </w:pPr>
    <w:rPr>
      <w:rFonts w:ascii="Times New Roman" w:hAnsi="Times New Roman"/>
    </w:rPr>
  </w:style>
  <w:style w:type="paragraph" w:styleId="TOC1">
    <w:name w:val="toc 1"/>
    <w:basedOn w:val="TOCBase"/>
    <w:next w:val="Normal"/>
    <w:rsid w:val="00652B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2B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2B68"/>
    <w:rPr>
      <w:rFonts w:ascii="Times New Roman" w:eastAsia="Times New Roman" w:hAnsi="Times New Roman" w:cs="Times New Roman"/>
      <w:sz w:val="16"/>
      <w:lang w:eastAsia="en-US"/>
    </w:rPr>
  </w:style>
  <w:style w:type="paragraph" w:styleId="Title">
    <w:name w:val="Title"/>
    <w:basedOn w:val="HeadingBase"/>
    <w:link w:val="TitleChar"/>
    <w:qFormat/>
    <w:rsid w:val="00652B68"/>
    <w:pPr>
      <w:spacing w:before="5040"/>
      <w:jc w:val="center"/>
    </w:pPr>
    <w:rPr>
      <w:sz w:val="48"/>
      <w:szCs w:val="72"/>
      <w:lang w:val="en-US"/>
    </w:rPr>
  </w:style>
  <w:style w:type="character" w:customStyle="1" w:styleId="TitleChar">
    <w:name w:val="Title Char"/>
    <w:basedOn w:val="DefaultParagraphFont"/>
    <w:link w:val="Title"/>
    <w:rsid w:val="00652B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2B68"/>
    <w:pPr>
      <w:tabs>
        <w:tab w:val="left" w:pos="3600"/>
        <w:tab w:val="left" w:pos="3958"/>
      </w:tabs>
    </w:pPr>
  </w:style>
  <w:style w:type="paragraph" w:styleId="List">
    <w:name w:val="List"/>
    <w:basedOn w:val="BodyText"/>
    <w:next w:val="BodyText"/>
    <w:rsid w:val="00652B68"/>
    <w:pPr>
      <w:tabs>
        <w:tab w:val="left" w:pos="340"/>
      </w:tabs>
      <w:spacing w:before="60" w:after="60"/>
      <w:ind w:left="340" w:hanging="340"/>
    </w:pPr>
  </w:style>
  <w:style w:type="paragraph" w:customStyle="1" w:styleId="Note">
    <w:name w:val="Note"/>
    <w:basedOn w:val="BodyText"/>
    <w:rsid w:val="00652B6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52B68"/>
    <w:rPr>
      <w:b/>
      <w:spacing w:val="0"/>
    </w:rPr>
  </w:style>
  <w:style w:type="paragraph" w:customStyle="1" w:styleId="SuperTitle">
    <w:name w:val="SuperTitle"/>
    <w:basedOn w:val="Title"/>
    <w:rsid w:val="00652B68"/>
    <w:pPr>
      <w:framePr w:wrap="auto" w:hAnchor="text" w:y="6049"/>
    </w:pPr>
    <w:rPr>
      <w:color w:val="000000"/>
      <w:sz w:val="40"/>
    </w:rPr>
  </w:style>
  <w:style w:type="paragraph" w:customStyle="1" w:styleId="TOCTitle">
    <w:name w:val="TOCTitle"/>
    <w:basedOn w:val="Heading1"/>
    <w:rsid w:val="00652B68"/>
    <w:pPr>
      <w:spacing w:after="240"/>
      <w:jc w:val="center"/>
      <w:outlineLvl w:val="9"/>
    </w:pPr>
    <w:rPr>
      <w:caps/>
    </w:rPr>
  </w:style>
  <w:style w:type="paragraph" w:customStyle="1" w:styleId="Version">
    <w:name w:val="Version"/>
    <w:rsid w:val="00652B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2B68"/>
    <w:pPr>
      <w:keepNext w:val="0"/>
      <w:tabs>
        <w:tab w:val="right" w:pos="4176"/>
      </w:tabs>
      <w:ind w:left="198" w:hanging="198"/>
    </w:pPr>
    <w:rPr>
      <w:rFonts w:ascii="Garamond" w:hAnsi="Garamond"/>
    </w:rPr>
  </w:style>
  <w:style w:type="paragraph" w:styleId="IndexHeading">
    <w:name w:val="index heading"/>
    <w:basedOn w:val="Normal"/>
    <w:next w:val="Index1"/>
    <w:semiHidden/>
    <w:rsid w:val="00652B68"/>
    <w:pPr>
      <w:spacing w:before="120" w:after="120"/>
    </w:pPr>
    <w:rPr>
      <w:rFonts w:ascii="Arial" w:hAnsi="Arial"/>
      <w:b/>
      <w:color w:val="918585"/>
      <w:sz w:val="24"/>
    </w:rPr>
  </w:style>
  <w:style w:type="paragraph" w:styleId="Header">
    <w:name w:val="header"/>
    <w:basedOn w:val="Normal"/>
    <w:link w:val="HeaderChar"/>
    <w:rsid w:val="00652B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2B68"/>
    <w:rPr>
      <w:rFonts w:ascii="Times New Roman" w:eastAsia="Times New Roman" w:hAnsi="Times New Roman" w:cs="Times New Roman"/>
      <w:sz w:val="16"/>
      <w:szCs w:val="20"/>
      <w:lang w:val="en-GB" w:eastAsia="en-US"/>
    </w:rPr>
  </w:style>
  <w:style w:type="paragraph" w:customStyle="1" w:styleId="Chapter">
    <w:name w:val="Chapter"/>
    <w:basedOn w:val="Normal"/>
    <w:rsid w:val="00652B68"/>
    <w:pPr>
      <w:spacing w:before="240"/>
    </w:pPr>
    <w:rPr>
      <w:rFonts w:ascii="Times New Roman" w:hAnsi="Times New Roman"/>
      <w:smallCaps/>
      <w:spacing w:val="80"/>
      <w:sz w:val="28"/>
    </w:rPr>
  </w:style>
  <w:style w:type="paragraph" w:customStyle="1" w:styleId="InChapter">
    <w:name w:val="InChapter"/>
    <w:basedOn w:val="Heading3"/>
    <w:rsid w:val="00652B68"/>
    <w:pPr>
      <w:spacing w:after="240"/>
      <w:outlineLvl w:val="9"/>
    </w:pPr>
    <w:rPr>
      <w:noProof/>
    </w:rPr>
  </w:style>
  <w:style w:type="paragraph" w:styleId="Index2">
    <w:name w:val="index 2"/>
    <w:basedOn w:val="Normal"/>
    <w:next w:val="Normal"/>
    <w:semiHidden/>
    <w:rsid w:val="00652B68"/>
    <w:pPr>
      <w:tabs>
        <w:tab w:val="right" w:pos="4176"/>
      </w:tabs>
      <w:ind w:left="568" w:hanging="284"/>
    </w:pPr>
    <w:rPr>
      <w:rFonts w:ascii="Garamond" w:hAnsi="Garamond"/>
    </w:rPr>
  </w:style>
  <w:style w:type="paragraph" w:customStyle="1" w:styleId="Byline">
    <w:name w:val="Byline"/>
    <w:rsid w:val="00652B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2B68"/>
    <w:pPr>
      <w:tabs>
        <w:tab w:val="clear" w:pos="3600"/>
        <w:tab w:val="clear" w:pos="3958"/>
      </w:tabs>
      <w:jc w:val="right"/>
    </w:pPr>
  </w:style>
  <w:style w:type="character" w:styleId="Emphasis">
    <w:name w:val="Emphasis"/>
    <w:basedOn w:val="DefaultParagraphFont"/>
    <w:qFormat/>
    <w:rsid w:val="00652B68"/>
    <w:rPr>
      <w:i/>
    </w:rPr>
  </w:style>
  <w:style w:type="paragraph" w:styleId="Caption">
    <w:name w:val="caption"/>
    <w:basedOn w:val="BodyText"/>
    <w:next w:val="Normal"/>
    <w:qFormat/>
    <w:rsid w:val="00652B68"/>
    <w:pPr>
      <w:framePr w:w="2268" w:hSpace="181" w:vSpace="181" w:wrap="around" w:vAnchor="text" w:hAnchor="page" w:x="1135" w:y="285" w:anchorLock="1"/>
    </w:pPr>
    <w:rPr>
      <w:i/>
    </w:rPr>
  </w:style>
  <w:style w:type="paragraph" w:customStyle="1" w:styleId="MiniTOCTitle">
    <w:name w:val="MiniTOCTitle"/>
    <w:basedOn w:val="Heading4"/>
    <w:rsid w:val="00652B68"/>
    <w:pPr>
      <w:spacing w:before="240"/>
      <w:outlineLvl w:val="9"/>
    </w:pPr>
    <w:rPr>
      <w:noProof/>
      <w:sz w:val="24"/>
    </w:rPr>
  </w:style>
  <w:style w:type="paragraph" w:customStyle="1" w:styleId="MiniTOCItem">
    <w:name w:val="MiniTOCItem"/>
    <w:basedOn w:val="ListBullet"/>
    <w:rsid w:val="00652B68"/>
    <w:pPr>
      <w:numPr>
        <w:numId w:val="0"/>
      </w:numPr>
      <w:tabs>
        <w:tab w:val="right" w:leader="dot" w:pos="6521"/>
      </w:tabs>
      <w:spacing w:before="0" w:after="0"/>
    </w:pPr>
  </w:style>
  <w:style w:type="paragraph" w:customStyle="1" w:styleId="TOFTitle">
    <w:name w:val="TOFTitle"/>
    <w:basedOn w:val="TOCTitle"/>
    <w:rsid w:val="00652B68"/>
  </w:style>
  <w:style w:type="paragraph" w:styleId="TableofFigures">
    <w:name w:val="table of figures"/>
    <w:basedOn w:val="Normal"/>
    <w:next w:val="Normal"/>
    <w:semiHidden/>
    <w:rsid w:val="00652B68"/>
    <w:pPr>
      <w:tabs>
        <w:tab w:val="right" w:leader="dot" w:pos="9072"/>
      </w:tabs>
      <w:ind w:left="970" w:hanging="403"/>
    </w:pPr>
    <w:rPr>
      <w:rFonts w:ascii="Times New Roman" w:hAnsi="Times New Roman"/>
      <w:b/>
    </w:rPr>
  </w:style>
  <w:style w:type="paragraph" w:styleId="ListNumber">
    <w:name w:val="List Number"/>
    <w:basedOn w:val="List"/>
    <w:rsid w:val="00652B68"/>
    <w:pPr>
      <w:numPr>
        <w:numId w:val="15"/>
      </w:numPr>
      <w:tabs>
        <w:tab w:val="clear" w:pos="340"/>
      </w:tabs>
    </w:pPr>
  </w:style>
  <w:style w:type="character" w:customStyle="1" w:styleId="WingdingSymbols">
    <w:name w:val="Wingding Symbols"/>
    <w:rsid w:val="00652B68"/>
    <w:rPr>
      <w:rFonts w:ascii="Wingdings" w:hAnsi="Wingdings"/>
    </w:rPr>
  </w:style>
  <w:style w:type="paragraph" w:customStyle="1" w:styleId="TableHeading">
    <w:name w:val="Table Heading"/>
    <w:basedOn w:val="HeadingBase"/>
    <w:rsid w:val="00652B68"/>
    <w:pPr>
      <w:keepLines/>
      <w:pBdr>
        <w:bottom w:val="single" w:sz="6" w:space="1" w:color="918585"/>
      </w:pBdr>
      <w:spacing w:before="240"/>
    </w:pPr>
  </w:style>
  <w:style w:type="character" w:customStyle="1" w:styleId="HotSpot">
    <w:name w:val="HotSpot"/>
    <w:rsid w:val="00652B68"/>
    <w:rPr>
      <w:color w:val="0033CC"/>
      <w:u w:val="none"/>
    </w:rPr>
  </w:style>
  <w:style w:type="paragraph" w:customStyle="1" w:styleId="BodyTextRight">
    <w:name w:val="Body Text Right"/>
    <w:basedOn w:val="BodyText"/>
    <w:rsid w:val="00652B68"/>
    <w:pPr>
      <w:spacing w:before="0" w:after="0"/>
      <w:jc w:val="right"/>
    </w:pPr>
  </w:style>
  <w:style w:type="paragraph" w:styleId="Index3">
    <w:name w:val="index 3"/>
    <w:basedOn w:val="ListNumber2"/>
    <w:next w:val="Normal"/>
    <w:semiHidden/>
    <w:rsid w:val="00652B68"/>
    <w:pPr>
      <w:numPr>
        <w:numId w:val="0"/>
      </w:numPr>
      <w:tabs>
        <w:tab w:val="right" w:leader="dot" w:pos="4176"/>
      </w:tabs>
    </w:pPr>
  </w:style>
  <w:style w:type="paragraph" w:styleId="ListNumber2">
    <w:name w:val="List Number 2"/>
    <w:basedOn w:val="List2"/>
    <w:rsid w:val="00652B68"/>
    <w:pPr>
      <w:numPr>
        <w:numId w:val="10"/>
      </w:numPr>
      <w:tabs>
        <w:tab w:val="clear" w:pos="1060"/>
      </w:tabs>
    </w:pPr>
  </w:style>
  <w:style w:type="paragraph" w:customStyle="1" w:styleId="MarginNote">
    <w:name w:val="Margin Note"/>
    <w:basedOn w:val="BodyText"/>
    <w:rsid w:val="00652B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2B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2B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2B68"/>
    <w:rPr>
      <w:sz w:val="32"/>
    </w:rPr>
  </w:style>
  <w:style w:type="paragraph" w:customStyle="1" w:styleId="HeadingProcedure">
    <w:name w:val="Heading Procedure"/>
    <w:basedOn w:val="HeadingBase"/>
    <w:next w:val="Normal"/>
    <w:rsid w:val="00652B68"/>
    <w:pPr>
      <w:tabs>
        <w:tab w:val="left" w:pos="0"/>
      </w:tabs>
      <w:spacing w:before="120" w:after="60"/>
    </w:pPr>
    <w:rPr>
      <w:i/>
      <w:color w:val="918585"/>
      <w:sz w:val="22"/>
    </w:rPr>
  </w:style>
  <w:style w:type="paragraph" w:customStyle="1" w:styleId="TableBodyText">
    <w:name w:val="Table Body Text"/>
    <w:basedOn w:val="BodyText"/>
    <w:rsid w:val="00652B68"/>
    <w:pPr>
      <w:spacing w:before="60" w:after="60"/>
    </w:pPr>
  </w:style>
  <w:style w:type="paragraph" w:styleId="ListContinue">
    <w:name w:val="List Continue"/>
    <w:basedOn w:val="List"/>
    <w:rsid w:val="00652B68"/>
    <w:pPr>
      <w:ind w:firstLine="0"/>
    </w:pPr>
  </w:style>
  <w:style w:type="paragraph" w:customStyle="1" w:styleId="ListNote">
    <w:name w:val="List Note"/>
    <w:basedOn w:val="List"/>
    <w:rsid w:val="00652B68"/>
    <w:pPr>
      <w:pBdr>
        <w:top w:val="single" w:sz="6" w:space="2" w:color="918585"/>
        <w:bottom w:val="single" w:sz="6" w:space="2" w:color="918585"/>
      </w:pBdr>
      <w:tabs>
        <w:tab w:val="left" w:pos="1021"/>
      </w:tabs>
      <w:ind w:firstLine="0"/>
    </w:pPr>
  </w:style>
  <w:style w:type="paragraph" w:customStyle="1" w:styleId="Warning">
    <w:name w:val="Warning"/>
    <w:basedOn w:val="BodyText"/>
    <w:rsid w:val="00652B68"/>
    <w:pPr>
      <w:shd w:val="clear" w:color="auto" w:fill="D9D9D9"/>
      <w:tabs>
        <w:tab w:val="left" w:pos="992"/>
      </w:tabs>
      <w:ind w:left="119" w:right="119"/>
    </w:pPr>
    <w:rPr>
      <w:sz w:val="20"/>
    </w:rPr>
  </w:style>
  <w:style w:type="paragraph" w:customStyle="1" w:styleId="MarginIcons">
    <w:name w:val="Margin Icons"/>
    <w:basedOn w:val="BodyText"/>
    <w:rsid w:val="00652B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2B68"/>
    <w:rPr>
      <w:rFonts w:ascii="Courier New" w:hAnsi="Courier New"/>
    </w:rPr>
  </w:style>
  <w:style w:type="paragraph" w:customStyle="1" w:styleId="NoteBullet">
    <w:name w:val="Note Bullet"/>
    <w:basedOn w:val="Note"/>
    <w:rsid w:val="00652B68"/>
    <w:pPr>
      <w:tabs>
        <w:tab w:val="clear" w:pos="680"/>
      </w:tabs>
      <w:spacing w:before="60" w:after="60"/>
    </w:pPr>
  </w:style>
  <w:style w:type="paragraph" w:customStyle="1" w:styleId="SubHeading2">
    <w:name w:val="SubHeading2"/>
    <w:basedOn w:val="HeadingBase"/>
    <w:rsid w:val="00652B68"/>
    <w:pPr>
      <w:spacing w:before="240" w:after="60"/>
    </w:pPr>
    <w:rPr>
      <w:sz w:val="20"/>
    </w:rPr>
  </w:style>
  <w:style w:type="paragraph" w:customStyle="1" w:styleId="SubHeading1">
    <w:name w:val="SubHeading1"/>
    <w:basedOn w:val="HeadingBase"/>
    <w:rsid w:val="00652B68"/>
    <w:pPr>
      <w:spacing w:before="240" w:after="60"/>
    </w:pPr>
    <w:rPr>
      <w:color w:val="918585"/>
      <w:sz w:val="22"/>
    </w:rPr>
  </w:style>
  <w:style w:type="paragraph" w:customStyle="1" w:styleId="SideHeading">
    <w:name w:val="Side Heading"/>
    <w:basedOn w:val="HeadingBase"/>
    <w:rsid w:val="00652B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2B68"/>
    <w:pPr>
      <w:tabs>
        <w:tab w:val="num" w:pos="360"/>
      </w:tabs>
    </w:pPr>
  </w:style>
  <w:style w:type="paragraph" w:styleId="PlainText">
    <w:name w:val="Plain Text"/>
    <w:basedOn w:val="Normal"/>
    <w:link w:val="PlainTextChar"/>
    <w:rsid w:val="00652B68"/>
    <w:rPr>
      <w:sz w:val="20"/>
    </w:rPr>
  </w:style>
  <w:style w:type="character" w:customStyle="1" w:styleId="PlainTextChar">
    <w:name w:val="Plain Text Char"/>
    <w:basedOn w:val="DefaultParagraphFont"/>
    <w:link w:val="PlainText"/>
    <w:rsid w:val="00652B68"/>
    <w:rPr>
      <w:rFonts w:ascii="Courier New" w:eastAsia="Times New Roman" w:hAnsi="Courier New" w:cs="Times New Roman"/>
      <w:sz w:val="20"/>
      <w:szCs w:val="20"/>
      <w:lang w:eastAsia="en-US"/>
    </w:rPr>
  </w:style>
  <w:style w:type="character" w:customStyle="1" w:styleId="MenuOption">
    <w:name w:val="Menu Option"/>
    <w:basedOn w:val="DefaultParagraphFont"/>
    <w:rsid w:val="00652B68"/>
    <w:rPr>
      <w:b/>
      <w:smallCaps/>
    </w:rPr>
  </w:style>
  <w:style w:type="paragraph" w:customStyle="1" w:styleId="TableListNumber">
    <w:name w:val="Table List Number"/>
    <w:basedOn w:val="ListNumber"/>
    <w:rsid w:val="00652B68"/>
    <w:pPr>
      <w:numPr>
        <w:numId w:val="0"/>
      </w:numPr>
    </w:pPr>
  </w:style>
  <w:style w:type="paragraph" w:styleId="TOC4">
    <w:name w:val="toc 4"/>
    <w:basedOn w:val="TOCBase"/>
    <w:next w:val="Normal"/>
    <w:semiHidden/>
    <w:rsid w:val="00652B68"/>
    <w:pPr>
      <w:tabs>
        <w:tab w:val="right" w:leader="dot" w:pos="9071"/>
      </w:tabs>
      <w:ind w:left="1701"/>
    </w:pPr>
  </w:style>
  <w:style w:type="paragraph" w:customStyle="1" w:styleId="ListAlpha">
    <w:name w:val="List Alpha"/>
    <w:basedOn w:val="List"/>
    <w:rsid w:val="00652B68"/>
    <w:pPr>
      <w:numPr>
        <w:numId w:val="9"/>
      </w:numPr>
    </w:pPr>
  </w:style>
  <w:style w:type="paragraph" w:customStyle="1" w:styleId="ListAlpha2">
    <w:name w:val="List Alpha 2"/>
    <w:basedOn w:val="List2"/>
    <w:rsid w:val="00652B68"/>
    <w:pPr>
      <w:numPr>
        <w:numId w:val="8"/>
      </w:numPr>
    </w:pPr>
  </w:style>
  <w:style w:type="paragraph" w:styleId="List2">
    <w:name w:val="List 2"/>
    <w:basedOn w:val="BodyText"/>
    <w:rsid w:val="00652B68"/>
    <w:pPr>
      <w:tabs>
        <w:tab w:val="left" w:pos="680"/>
      </w:tabs>
      <w:spacing w:before="60" w:after="60"/>
      <w:ind w:left="680" w:hanging="340"/>
    </w:pPr>
  </w:style>
  <w:style w:type="paragraph" w:styleId="List3">
    <w:name w:val="List 3"/>
    <w:basedOn w:val="BodyText"/>
    <w:rsid w:val="00652B68"/>
    <w:pPr>
      <w:tabs>
        <w:tab w:val="left" w:pos="1021"/>
      </w:tabs>
      <w:spacing w:before="60" w:after="60"/>
      <w:ind w:left="1020" w:hanging="340"/>
    </w:pPr>
  </w:style>
  <w:style w:type="paragraph" w:styleId="List4">
    <w:name w:val="List 4"/>
    <w:basedOn w:val="BodyText"/>
    <w:rsid w:val="00652B68"/>
    <w:pPr>
      <w:tabs>
        <w:tab w:val="left" w:pos="1361"/>
      </w:tabs>
      <w:spacing w:before="60" w:after="60"/>
      <w:ind w:left="1361" w:hanging="340"/>
    </w:pPr>
  </w:style>
  <w:style w:type="paragraph" w:styleId="List5">
    <w:name w:val="List 5"/>
    <w:basedOn w:val="BodyText"/>
    <w:rsid w:val="00652B68"/>
    <w:pPr>
      <w:tabs>
        <w:tab w:val="left" w:pos="1701"/>
      </w:tabs>
      <w:spacing w:before="60" w:after="60"/>
      <w:ind w:left="1701" w:hanging="340"/>
    </w:pPr>
  </w:style>
  <w:style w:type="paragraph" w:styleId="ListBullet3">
    <w:name w:val="List Bullet 3"/>
    <w:basedOn w:val="List3"/>
    <w:rsid w:val="00652B68"/>
    <w:pPr>
      <w:numPr>
        <w:numId w:val="14"/>
      </w:numPr>
      <w:tabs>
        <w:tab w:val="clear" w:pos="1021"/>
      </w:tabs>
      <w:ind w:left="1037" w:hanging="357"/>
    </w:pPr>
  </w:style>
  <w:style w:type="paragraph" w:styleId="ListBullet4">
    <w:name w:val="List Bullet 4"/>
    <w:basedOn w:val="List4"/>
    <w:rsid w:val="00652B68"/>
    <w:pPr>
      <w:numPr>
        <w:numId w:val="3"/>
      </w:numPr>
      <w:tabs>
        <w:tab w:val="clear" w:pos="1361"/>
      </w:tabs>
    </w:pPr>
  </w:style>
  <w:style w:type="paragraph" w:styleId="ListBullet5">
    <w:name w:val="List Bullet 5"/>
    <w:basedOn w:val="List5"/>
    <w:rsid w:val="00652B68"/>
    <w:pPr>
      <w:numPr>
        <w:numId w:val="4"/>
      </w:numPr>
    </w:pPr>
  </w:style>
  <w:style w:type="paragraph" w:styleId="ListContinue2">
    <w:name w:val="List Continue 2"/>
    <w:basedOn w:val="List2"/>
    <w:rsid w:val="00652B68"/>
    <w:pPr>
      <w:ind w:firstLine="0"/>
    </w:pPr>
  </w:style>
  <w:style w:type="paragraph" w:styleId="ListContinue3">
    <w:name w:val="List Continue 3"/>
    <w:basedOn w:val="List3"/>
    <w:rsid w:val="00652B68"/>
    <w:pPr>
      <w:ind w:left="1021" w:firstLine="0"/>
    </w:pPr>
  </w:style>
  <w:style w:type="paragraph" w:styleId="ListContinue4">
    <w:name w:val="List Continue 4"/>
    <w:basedOn w:val="List4"/>
    <w:rsid w:val="00652B68"/>
    <w:pPr>
      <w:ind w:firstLine="0"/>
    </w:pPr>
  </w:style>
  <w:style w:type="paragraph" w:styleId="ListContinue5">
    <w:name w:val="List Continue 5"/>
    <w:basedOn w:val="List5"/>
    <w:rsid w:val="00652B68"/>
    <w:pPr>
      <w:ind w:firstLine="0"/>
    </w:pPr>
  </w:style>
  <w:style w:type="paragraph" w:styleId="ListNumber3">
    <w:name w:val="List Number 3"/>
    <w:basedOn w:val="List3"/>
    <w:rsid w:val="00652B68"/>
    <w:pPr>
      <w:numPr>
        <w:numId w:val="5"/>
      </w:numPr>
    </w:pPr>
  </w:style>
  <w:style w:type="paragraph" w:styleId="ListNumber4">
    <w:name w:val="List Number 4"/>
    <w:basedOn w:val="List4"/>
    <w:rsid w:val="00652B68"/>
    <w:pPr>
      <w:numPr>
        <w:numId w:val="6"/>
      </w:numPr>
    </w:pPr>
  </w:style>
  <w:style w:type="paragraph" w:styleId="ListNumber5">
    <w:name w:val="List Number 5"/>
    <w:basedOn w:val="List5"/>
    <w:rsid w:val="00652B68"/>
    <w:pPr>
      <w:numPr>
        <w:numId w:val="7"/>
      </w:numPr>
    </w:pPr>
  </w:style>
  <w:style w:type="paragraph" w:styleId="BlockText">
    <w:name w:val="Block Text"/>
    <w:basedOn w:val="Normal"/>
    <w:rsid w:val="00652B68"/>
    <w:pPr>
      <w:spacing w:after="120"/>
      <w:ind w:left="1440" w:right="1440"/>
    </w:pPr>
  </w:style>
  <w:style w:type="character" w:customStyle="1" w:styleId="Subscript">
    <w:name w:val="Subscript"/>
    <w:basedOn w:val="DefaultParagraphFont"/>
    <w:rsid w:val="00652B68"/>
    <w:rPr>
      <w:sz w:val="16"/>
      <w:vertAlign w:val="subscript"/>
    </w:rPr>
  </w:style>
  <w:style w:type="character" w:customStyle="1" w:styleId="Superscript">
    <w:name w:val="Superscript"/>
    <w:basedOn w:val="DefaultParagraphFont"/>
    <w:rsid w:val="00652B68"/>
    <w:rPr>
      <w:sz w:val="16"/>
      <w:vertAlign w:val="superscript"/>
    </w:rPr>
  </w:style>
  <w:style w:type="character" w:customStyle="1" w:styleId="Symbols">
    <w:name w:val="Symbols"/>
    <w:basedOn w:val="DefaultParagraphFont"/>
    <w:rsid w:val="00652B68"/>
    <w:rPr>
      <w:rFonts w:ascii="Symbol" w:hAnsi="Symbol"/>
    </w:rPr>
  </w:style>
  <w:style w:type="character" w:customStyle="1" w:styleId="MenuOptions">
    <w:name w:val="Menu Options"/>
    <w:basedOn w:val="DefaultParagraphFont"/>
    <w:rsid w:val="00652B68"/>
    <w:rPr>
      <w:rFonts w:ascii="Arial Narrow" w:hAnsi="Arial Narrow"/>
      <w:smallCaps/>
    </w:rPr>
  </w:style>
  <w:style w:type="character" w:customStyle="1" w:styleId="Buttons">
    <w:name w:val="Buttons"/>
    <w:basedOn w:val="DefaultParagraphFont"/>
    <w:rsid w:val="00652B68"/>
    <w:rPr>
      <w:b/>
    </w:rPr>
  </w:style>
  <w:style w:type="character" w:customStyle="1" w:styleId="Underlined">
    <w:name w:val="Underlined"/>
    <w:basedOn w:val="DefaultParagraphFont"/>
    <w:rsid w:val="00652B68"/>
    <w:rPr>
      <w:u w:val="single"/>
    </w:rPr>
  </w:style>
  <w:style w:type="paragraph" w:customStyle="1" w:styleId="TableBodyTextRight">
    <w:name w:val="Table Body Text Right"/>
    <w:basedOn w:val="TableBodyText"/>
    <w:rsid w:val="00652B68"/>
    <w:pPr>
      <w:widowControl w:val="0"/>
      <w:autoSpaceDE w:val="0"/>
      <w:autoSpaceDN w:val="0"/>
      <w:adjustRightInd w:val="0"/>
      <w:jc w:val="right"/>
    </w:pPr>
    <w:rPr>
      <w:rFonts w:cs="Arial"/>
      <w:szCs w:val="18"/>
    </w:rPr>
  </w:style>
  <w:style w:type="paragraph" w:customStyle="1" w:styleId="CopyrightText">
    <w:name w:val="Copyright Text"/>
    <w:basedOn w:val="BodyText"/>
    <w:rsid w:val="00652B68"/>
    <w:rPr>
      <w:sz w:val="18"/>
    </w:rPr>
  </w:style>
  <w:style w:type="paragraph" w:customStyle="1" w:styleId="BodySmallRight">
    <w:name w:val="Body Small Right"/>
    <w:basedOn w:val="BodyTextRight"/>
    <w:rsid w:val="00652B68"/>
    <w:rPr>
      <w:sz w:val="18"/>
      <w:szCs w:val="18"/>
    </w:rPr>
  </w:style>
  <w:style w:type="paragraph" w:customStyle="1" w:styleId="MarginEdition">
    <w:name w:val="Margin Edition"/>
    <w:basedOn w:val="MarginNote"/>
    <w:rsid w:val="00652B68"/>
    <w:pPr>
      <w:spacing w:before="0" w:after="0"/>
    </w:pPr>
    <w:rPr>
      <w:rFonts w:ascii="Times New Roman" w:hAnsi="Times New Roman"/>
      <w:color w:val="999999"/>
    </w:rPr>
  </w:style>
  <w:style w:type="paragraph" w:customStyle="1" w:styleId="Spacer">
    <w:name w:val="Spacer"/>
    <w:basedOn w:val="Normal"/>
    <w:rsid w:val="00652B68"/>
    <w:rPr>
      <w:sz w:val="2"/>
      <w:szCs w:val="2"/>
    </w:rPr>
  </w:style>
  <w:style w:type="character" w:customStyle="1" w:styleId="Small">
    <w:name w:val="Small"/>
    <w:basedOn w:val="DefaultParagraphFont"/>
    <w:rsid w:val="00652B68"/>
    <w:rPr>
      <w:sz w:val="16"/>
    </w:rPr>
  </w:style>
  <w:style w:type="paragraph" w:customStyle="1" w:styleId="WideTable">
    <w:name w:val="Wide Table"/>
    <w:basedOn w:val="Normal"/>
    <w:rsid w:val="00652B68"/>
    <w:pPr>
      <w:ind w:left="-1418"/>
    </w:pPr>
    <w:rPr>
      <w:sz w:val="2"/>
      <w:szCs w:val="2"/>
    </w:rPr>
  </w:style>
  <w:style w:type="character" w:styleId="PageNumber">
    <w:name w:val="page number"/>
    <w:basedOn w:val="DefaultParagraphFont"/>
    <w:rsid w:val="00652B68"/>
  </w:style>
  <w:style w:type="paragraph" w:styleId="Quote">
    <w:name w:val="Quote"/>
    <w:basedOn w:val="Heading1"/>
    <w:link w:val="QuoteChar"/>
    <w:qFormat/>
    <w:rsid w:val="00652B68"/>
    <w:rPr>
      <w:b w:val="0"/>
      <w:sz w:val="72"/>
      <w:szCs w:val="72"/>
      <w:lang w:val="en-NZ"/>
    </w:rPr>
  </w:style>
  <w:style w:type="character" w:customStyle="1" w:styleId="QuoteChar">
    <w:name w:val="Quote Char"/>
    <w:basedOn w:val="DefaultParagraphFont"/>
    <w:link w:val="Quote"/>
    <w:rsid w:val="00652B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2B68"/>
    <w:pPr>
      <w:pageBreakBefore/>
    </w:pPr>
  </w:style>
  <w:style w:type="paragraph" w:customStyle="1" w:styleId="Border">
    <w:name w:val="Border"/>
    <w:basedOn w:val="Normal"/>
    <w:qFormat/>
    <w:rsid w:val="00652B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2B68"/>
    <w:rPr>
      <w:b/>
      <w:bCs/>
      <w:i/>
      <w:iCs/>
      <w:color w:val="auto"/>
    </w:rPr>
  </w:style>
  <w:style w:type="paragraph" w:styleId="IntenseQuote">
    <w:name w:val="Intense Quote"/>
    <w:basedOn w:val="Normal"/>
    <w:next w:val="Normal"/>
    <w:link w:val="IntenseQuoteChar"/>
    <w:uiPriority w:val="30"/>
    <w:qFormat/>
    <w:rsid w:val="00652B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2B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2B68"/>
    <w:rPr>
      <w:smallCaps/>
      <w:color w:val="auto"/>
      <w:u w:val="single"/>
    </w:rPr>
  </w:style>
  <w:style w:type="character" w:styleId="IntenseReference">
    <w:name w:val="Intense Reference"/>
    <w:basedOn w:val="DefaultParagraphFont"/>
    <w:uiPriority w:val="32"/>
    <w:qFormat/>
    <w:rsid w:val="00652B68"/>
    <w:rPr>
      <w:b/>
      <w:bCs/>
      <w:smallCaps/>
      <w:color w:val="auto"/>
      <w:spacing w:val="5"/>
      <w:u w:val="single"/>
    </w:rPr>
  </w:style>
  <w:style w:type="paragraph" w:customStyle="1" w:styleId="2ColumnHeading">
    <w:name w:val="2Column Heading"/>
    <w:basedOn w:val="BodyText"/>
    <w:qFormat/>
    <w:rsid w:val="00652B68"/>
    <w:pPr>
      <w:spacing w:after="60"/>
      <w:ind w:left="-2268"/>
    </w:pPr>
    <w:rPr>
      <w:b/>
    </w:rPr>
  </w:style>
  <w:style w:type="paragraph" w:customStyle="1" w:styleId="Heading1TOC">
    <w:name w:val="Heading1 TOC"/>
    <w:basedOn w:val="Normal"/>
    <w:qFormat/>
    <w:rsid w:val="00652B68"/>
    <w:pPr>
      <w:spacing w:before="240" w:after="120"/>
    </w:pPr>
    <w:rPr>
      <w:rFonts w:ascii="Times New Roman" w:hAnsi="Times New Roman"/>
      <w:b/>
      <w:sz w:val="32"/>
    </w:rPr>
  </w:style>
  <w:style w:type="paragraph" w:customStyle="1" w:styleId="Heading2TOC">
    <w:name w:val="Heading2 TOC"/>
    <w:basedOn w:val="Normal"/>
    <w:qFormat/>
    <w:rsid w:val="00652B68"/>
    <w:pPr>
      <w:spacing w:before="240" w:after="60"/>
    </w:pPr>
    <w:rPr>
      <w:rFonts w:ascii="Times New Roman" w:hAnsi="Times New Roman"/>
      <w:b/>
      <w:sz w:val="28"/>
    </w:rPr>
  </w:style>
  <w:style w:type="character" w:customStyle="1" w:styleId="Underline">
    <w:name w:val="Underline"/>
    <w:basedOn w:val="DefaultParagraphFont"/>
    <w:qFormat/>
    <w:rsid w:val="00652B68"/>
    <w:rPr>
      <w:u w:val="single"/>
    </w:rPr>
  </w:style>
  <w:style w:type="character" w:customStyle="1" w:styleId="BoldandItalics">
    <w:name w:val="Bold and Italics"/>
    <w:qFormat/>
    <w:rsid w:val="00652B68"/>
    <w:rPr>
      <w:b/>
      <w:i/>
      <w:u w:val="none"/>
    </w:rPr>
  </w:style>
  <w:style w:type="paragraph" w:styleId="BalloonText">
    <w:name w:val="Balloon Text"/>
    <w:basedOn w:val="Normal"/>
    <w:link w:val="BalloonTextChar"/>
    <w:rsid w:val="00652B68"/>
    <w:rPr>
      <w:rFonts w:ascii="Tahoma" w:hAnsi="Tahoma" w:cs="Tahoma"/>
      <w:sz w:val="16"/>
      <w:szCs w:val="16"/>
    </w:rPr>
  </w:style>
  <w:style w:type="character" w:customStyle="1" w:styleId="BalloonTextChar">
    <w:name w:val="Balloon Text Char"/>
    <w:basedOn w:val="DefaultParagraphFont"/>
    <w:link w:val="BalloonText"/>
    <w:rsid w:val="00652B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2B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2B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2B68"/>
    <w:rPr>
      <w:b/>
      <w:color w:val="660033"/>
      <w:spacing w:val="0"/>
    </w:rPr>
  </w:style>
  <w:style w:type="paragraph" w:customStyle="1" w:styleId="Nameditemlist">
    <w:name w:val="Named item list"/>
    <w:basedOn w:val="BodyText"/>
    <w:qFormat/>
    <w:rsid w:val="00652B68"/>
    <w:pPr>
      <w:tabs>
        <w:tab w:val="left" w:pos="2835"/>
      </w:tabs>
      <w:ind w:left="2835" w:hanging="2835"/>
    </w:pPr>
  </w:style>
  <w:style w:type="paragraph" w:customStyle="1" w:styleId="BodyTextnopadding">
    <w:name w:val="Body Text no padding"/>
    <w:basedOn w:val="BodyText"/>
    <w:qFormat/>
    <w:rsid w:val="00652B68"/>
    <w:pPr>
      <w:spacing w:before="0" w:after="0"/>
    </w:pPr>
  </w:style>
  <w:style w:type="character" w:styleId="Hyperlink">
    <w:name w:val="Hyperlink"/>
    <w:basedOn w:val="DefaultParagraphFont"/>
    <w:uiPriority w:val="99"/>
    <w:unhideWhenUsed/>
    <w:rsid w:val="007D6B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574</Words>
  <Characters>3914</Characters>
  <Application>Microsoft Office Word</Application>
  <DocSecurity>0</DocSecurity>
  <Lines>97</Lines>
  <Paragraphs>80</Paragraphs>
  <ScaleCrop>false</ScaleCrop>
  <Company>Author-it Software Corporation Ltd.</Company>
  <LinksUpToDate>false</LinksUpToDate>
  <CharactersWithSpaces>4408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FBPBPG3010 Operate and monitor a carbonated beverage filling process</dc:title>
  <dc:subject>Approved</dc:subject>
  <dc:creator>Skills Impact</dc:creator>
  <cp:keywords>Release: 1</cp:keywords>
  <dc:description>Review Date: 12 April 2008</dc:description>
  <cp:lastModifiedBy>HSD_TPCMSd.prod</cp:lastModifiedBy>
  <cp:revision>3</cp:revision>
  <dcterms:created xsi:type="dcterms:W3CDTF">2022-04-19T18:26:00Z</dcterms:created>
  <dcterms:modified xsi:type="dcterms:W3CDTF">2022-04-19T18:26:00Z</dcterms:modified>
</cp:coreProperties>
</file>