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B9E" w:rsidP="00496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FBPBPG3005 Operate the tirage and transfer process</w:t>
      </w:r>
      <w:r>
        <w:fldChar w:fldCharType="end"/>
      </w:r>
    </w:p>
    <w:p w:rsidR="00496B9E" w:rsidP="00496B9E">
      <w:pPr>
        <w:pStyle w:val="Version"/>
        <w:sectPr w:rsidSect="00F14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2C5" w:rsidP="00F142C5">
      <w:pPr>
        <w:pStyle w:val="SuperHeading"/>
      </w:pPr>
      <w:r w:rsidRPr="00F142C5">
        <w:t>FBPBPG3005 Operate the tirage and transfer process</w:t>
      </w:r>
    </w:p>
    <w:p w:rsidR="00000000" w:rsidRPr="00F142C5" w:rsidP="00F142C5">
      <w:pPr>
        <w:pStyle w:val="Heading1"/>
      </w:pPr>
      <w:bookmarkStart w:id="1" w:name="O_993936"/>
      <w:bookmarkEnd w:id="1"/>
      <w:r w:rsidRPr="00F142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rPr>
                <w:rStyle w:val="SpecialBold"/>
              </w:rPr>
              <w:t>Comments</w:t>
            </w:r>
          </w:p>
        </w:tc>
      </w:tr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This version released with FBP Food, Beverage and Pharmaceutical Training Package Version 2.0.</w:t>
            </w:r>
          </w:p>
        </w:tc>
      </w:tr>
    </w:tbl>
    <w:p w:rsidR="00000000" w:rsidRPr="00F142C5" w:rsidP="00F142C5">
      <w:pPr>
        <w:pStyle w:val="BodyText"/>
      </w:pPr>
    </w:p>
    <w:p w:rsidR="00000000" w:rsidRPr="00F142C5" w:rsidP="00F142C5">
      <w:pPr>
        <w:pStyle w:val="AllowPageBreak"/>
      </w:pPr>
    </w:p>
    <w:p w:rsidR="00000000" w:rsidRPr="00F142C5" w:rsidP="00F142C5">
      <w:pPr>
        <w:pStyle w:val="Heading1"/>
      </w:pPr>
      <w:bookmarkStart w:id="2" w:name="O_993937"/>
      <w:bookmarkEnd w:id="2"/>
      <w:r w:rsidRPr="00F142C5">
        <w:t>Application</w:t>
      </w:r>
    </w:p>
    <w:p w:rsidR="00000000" w:rsidRPr="00F142C5" w:rsidP="00496B9E">
      <w:pPr>
        <w:pStyle w:val="BodyText"/>
      </w:pPr>
      <w:r w:rsidRPr="00F142C5">
        <w:t>This unit of competency describes the skills and knowledge required to se</w:t>
      </w:r>
      <w:r w:rsidRPr="00F142C5">
        <w:t>t up, operate and shut down a range of semi-automated and automated equipment involved in the tirage and transfer process.</w:t>
      </w:r>
    </w:p>
    <w:p w:rsidR="00000000" w:rsidRPr="00F142C5" w:rsidP="00496B9E">
      <w:pPr>
        <w:pStyle w:val="BodyText"/>
      </w:pPr>
      <w:r w:rsidRPr="00F142C5">
        <w:t>The unit applies to individuals who are responsible for operating and monitoring a tirage and transfer process and associated bottlin</w:t>
      </w:r>
      <w:r w:rsidRPr="00F142C5">
        <w:t xml:space="preserve">g and packaging equipment in the wine industry. They work under broad direction and exercise autonomy and judgement where required. </w:t>
      </w:r>
    </w:p>
    <w:p w:rsidR="00000000" w:rsidRPr="00F142C5" w:rsidP="00496B9E">
      <w:pPr>
        <w:pStyle w:val="BodyText"/>
      </w:pPr>
      <w:r w:rsidRPr="00F142C5">
        <w:t xml:space="preserve">All work must be carried out to comply with workplace procedures, according to state/territory health and safety, and food </w:t>
      </w:r>
      <w:r w:rsidRPr="00F142C5">
        <w:t>safety regulations, legislation and standards that apply to the workplace.</w:t>
      </w:r>
    </w:p>
    <w:p w:rsidR="00000000" w:rsidRPr="00F142C5" w:rsidP="00496B9E">
      <w:pPr>
        <w:pStyle w:val="BodyText"/>
      </w:pPr>
      <w:r w:rsidRPr="00F142C5">
        <w:t>No occupational licensing, legislative or certification requirements are known to apply to this unit at the time of publication.</w:t>
      </w:r>
    </w:p>
    <w:p w:rsidR="00000000" w:rsidRPr="00F142C5" w:rsidP="00F142C5">
      <w:pPr>
        <w:pStyle w:val="Heading1"/>
      </w:pPr>
      <w:bookmarkStart w:id="3" w:name="O_993938"/>
      <w:bookmarkEnd w:id="3"/>
      <w:r w:rsidRPr="00F142C5">
        <w:t>Pre-requisite Unit</w:t>
      </w:r>
    </w:p>
    <w:p w:rsidR="00000000" w:rsidRPr="00F142C5" w:rsidP="00496B9E">
      <w:pPr>
        <w:pStyle w:val="BodyText"/>
      </w:pPr>
      <w:r w:rsidRPr="00F142C5">
        <w:t>Nil</w:t>
      </w:r>
    </w:p>
    <w:p w:rsidR="00000000" w:rsidRPr="00F142C5" w:rsidP="00F142C5">
      <w:pPr>
        <w:pStyle w:val="Heading1"/>
      </w:pPr>
      <w:bookmarkStart w:id="4" w:name="O_993940"/>
      <w:bookmarkEnd w:id="4"/>
      <w:r w:rsidRPr="00F142C5">
        <w:t>Unit Sector</w:t>
      </w:r>
    </w:p>
    <w:p w:rsidR="00000000" w:rsidRPr="00F142C5" w:rsidP="00496B9E">
      <w:pPr>
        <w:pStyle w:val="BodyText"/>
      </w:pPr>
      <w:r w:rsidRPr="00F142C5">
        <w:t>Bottling and Packaging (BPG)</w:t>
      </w:r>
    </w:p>
    <w:p w:rsidR="00000000" w:rsidRPr="00F142C5" w:rsidP="00F142C5">
      <w:pPr>
        <w:pStyle w:val="Heading1"/>
      </w:pPr>
      <w:bookmarkStart w:id="5" w:name="O_993941"/>
      <w:bookmarkEnd w:id="5"/>
      <w:r w:rsidRPr="00F142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rPr>
                <w:rStyle w:val="SpecialBold"/>
              </w:rPr>
              <w:t>Performance Criteria</w:t>
            </w:r>
          </w:p>
        </w:tc>
      </w:tr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1. Prepare to operate tirage and transfer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1.1 Interpret work instructions, including identifying potential health and safety in the workplace hazards</w:t>
            </w:r>
            <w:r w:rsidRPr="00F142C5">
              <w:t xml:space="preserve"> and controls </w:t>
            </w:r>
          </w:p>
          <w:p w:rsidR="00000000" w:rsidRPr="00F142C5" w:rsidP="00F142C5">
            <w:pPr>
              <w:pStyle w:val="BodyText"/>
            </w:pPr>
            <w:r w:rsidRPr="00F142C5">
              <w:t>1.2 Select, fit and use appropriate personal protective equipment</w:t>
            </w:r>
          </w:p>
          <w:p w:rsidR="00000000" w:rsidRPr="00F142C5" w:rsidP="00F142C5">
            <w:pPr>
              <w:pStyle w:val="BodyText"/>
            </w:pPr>
            <w:r w:rsidRPr="00F142C5">
              <w:t>1.3 Ensure that product and materials are available and ready for use to meet tirage and transfer process requirements</w:t>
            </w:r>
          </w:p>
          <w:p w:rsidR="00000000" w:rsidRPr="00F142C5" w:rsidP="00F142C5">
            <w:pPr>
              <w:pStyle w:val="BodyText"/>
            </w:pPr>
            <w:r w:rsidRPr="00F142C5">
              <w:t>1.4 Prepare product and materials to meet the tirage and</w:t>
            </w:r>
            <w:r w:rsidRPr="00F142C5">
              <w:t xml:space="preserve"> transfer requirements</w:t>
            </w:r>
          </w:p>
          <w:p w:rsidR="00000000" w:rsidRPr="00F142C5" w:rsidP="00F142C5">
            <w:pPr>
              <w:pStyle w:val="BodyText"/>
            </w:pPr>
            <w:r w:rsidRPr="00F142C5">
              <w:t>1.5 Ensure that services are available and ready for operation</w:t>
            </w:r>
          </w:p>
          <w:p w:rsidR="00000000" w:rsidRPr="00F142C5" w:rsidP="00F142C5">
            <w:pPr>
              <w:pStyle w:val="BodyText"/>
            </w:pPr>
            <w:r w:rsidRPr="00F142C5">
              <w:t>1.6 Prepare tirage and transfer equipment and check to confirm readiness for use</w:t>
            </w:r>
          </w:p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1.7 Set up equipment to meet tirage and transfer requirements</w:t>
            </w:r>
          </w:p>
        </w:tc>
      </w:tr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 xml:space="preserve">2. Operate and monitor </w:t>
            </w:r>
            <w:r w:rsidRPr="00F142C5">
              <w:t>the tirage and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2.1 Start-up tirage and transfer equipment according to operating instructions</w:t>
            </w:r>
          </w:p>
          <w:p w:rsidR="00000000" w:rsidRPr="00F142C5" w:rsidP="00F142C5">
            <w:pPr>
              <w:pStyle w:val="BodyText"/>
            </w:pPr>
            <w:r w:rsidRPr="00F142C5">
              <w:t>2.2 Monitor control points to confirm performance and maintain within equipment operation specification</w:t>
            </w:r>
          </w:p>
          <w:p w:rsidR="00000000" w:rsidRPr="00F142C5" w:rsidP="00F142C5">
            <w:pPr>
              <w:pStyle w:val="BodyText"/>
            </w:pPr>
            <w:r w:rsidRPr="00F142C5">
              <w:t>2.3 Ensure tirage and transfer output mee</w:t>
            </w:r>
            <w:r w:rsidRPr="00F142C5">
              <w:t>ts specification</w:t>
            </w:r>
          </w:p>
          <w:p w:rsidR="00000000" w:rsidRPr="00F142C5" w:rsidP="00F142C5">
            <w:pPr>
              <w:pStyle w:val="BodyText"/>
            </w:pPr>
            <w:r w:rsidRPr="00F142C5">
              <w:t>2.4 Monitor tirage and transfer equipment to confirm operating condition</w:t>
            </w:r>
          </w:p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2.5 Identify, rectify and report out-of-specification end product, process and equipment performance according to workplace procedures</w:t>
            </w:r>
          </w:p>
        </w:tc>
      </w:tr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3. Shut down the tirage and tr</w:t>
            </w:r>
            <w:r w:rsidRPr="00F142C5">
              <w:t>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3.1 Shut down tirage and transfer equipment according to operating instructions</w:t>
            </w:r>
          </w:p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3.2 Prepare tirage and transfer equipment for cleaning according to workplace procedures</w:t>
            </w:r>
          </w:p>
        </w:tc>
      </w:tr>
      <w:tr w:rsidTr="00496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4.1 Carry out cleaning procedures</w:t>
            </w:r>
          </w:p>
          <w:p w:rsidR="00000000" w:rsidRPr="00F142C5" w:rsidP="00F142C5">
            <w:pPr>
              <w:pStyle w:val="BodyText"/>
            </w:pPr>
            <w:r w:rsidRPr="00F142C5">
              <w:t>4.</w:t>
            </w:r>
            <w:r w:rsidRPr="00F142C5">
              <w:t xml:space="preserve">2 Collect, treat and dispose of or recycle waste generated by both the process and cleaning procedures </w:t>
            </w:r>
          </w:p>
          <w:p w:rsidR="00000000" w:rsidRPr="00F142C5" w:rsidP="00F142C5">
            <w:pPr>
              <w:pStyle w:val="BodyText"/>
            </w:pPr>
            <w:r w:rsidRPr="00F142C5">
              <w:t>4.3 Record workplace information according to workplace procedures</w:t>
            </w:r>
          </w:p>
        </w:tc>
      </w:tr>
    </w:tbl>
    <w:p w:rsidR="00000000" w:rsidRPr="00F142C5" w:rsidP="00F142C5">
      <w:pPr>
        <w:pStyle w:val="BodyText"/>
      </w:pPr>
    </w:p>
    <w:p w:rsidR="00000000" w:rsidRPr="00F142C5" w:rsidP="00F142C5">
      <w:pPr>
        <w:pStyle w:val="AllowPageBreak"/>
      </w:pPr>
    </w:p>
    <w:p w:rsidR="00000000" w:rsidRPr="00F142C5" w:rsidP="00F142C5">
      <w:pPr>
        <w:pStyle w:val="Heading1"/>
      </w:pPr>
      <w:bookmarkStart w:id="6" w:name="O_993942"/>
      <w:bookmarkEnd w:id="6"/>
      <w:r w:rsidRPr="00F142C5">
        <w:t>Foundation Skills</w:t>
      </w:r>
    </w:p>
    <w:p w:rsidR="00000000" w:rsidRPr="00496B9E" w:rsidP="00496B9E">
      <w:pPr>
        <w:pStyle w:val="BodyText"/>
        <w:rPr>
          <w:i/>
        </w:rPr>
      </w:pPr>
      <w:r w:rsidRPr="00496B9E">
        <w:rPr>
          <w:rStyle w:val="Emphasis"/>
        </w:rPr>
        <w:t>This section describes those language, literacy,</w:t>
      </w:r>
      <w:r w:rsidRPr="00496B9E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rPr>
                <w:rStyle w:val="SpecialBold"/>
              </w:rPr>
              <w:t>Description</w:t>
            </w:r>
          </w:p>
        </w:tc>
      </w:tr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ListBullet"/>
              <w:rPr>
                <w:lang w:val="en-NZ"/>
              </w:rPr>
            </w:pPr>
            <w:r w:rsidRPr="00F142C5">
              <w:t>Interpret textual information in process documentation</w:t>
            </w:r>
          </w:p>
        </w:tc>
      </w:tr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ListBullet"/>
            </w:pPr>
            <w:r w:rsidRPr="00F142C5">
              <w:t>Recognise organisational expectations and follow protocols and procedures</w:t>
            </w:r>
          </w:p>
          <w:p w:rsidR="00000000" w:rsidP="00F142C5">
            <w:pPr>
              <w:pStyle w:val="ListBullet"/>
              <w:rPr>
                <w:lang w:val="en-NZ"/>
              </w:rPr>
            </w:pPr>
            <w:r w:rsidRPr="00F142C5">
              <w:t xml:space="preserve">Recognise own work performance and seek assistance where required </w:t>
            </w:r>
          </w:p>
        </w:tc>
      </w:tr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ListBullet"/>
            </w:pPr>
            <w:r w:rsidRPr="00F142C5">
              <w:t>Problem solve issues as they arise</w:t>
            </w:r>
          </w:p>
        </w:tc>
      </w:tr>
    </w:tbl>
    <w:p w:rsidR="00000000" w:rsidRPr="00F142C5" w:rsidP="00F142C5">
      <w:pPr>
        <w:pStyle w:val="BodyText"/>
      </w:pPr>
    </w:p>
    <w:p w:rsidR="00000000" w:rsidRPr="00F142C5" w:rsidP="00F142C5">
      <w:pPr>
        <w:pStyle w:val="AllowPageBreak"/>
      </w:pPr>
    </w:p>
    <w:p w:rsidR="00000000" w:rsidRPr="00F142C5" w:rsidP="00F142C5">
      <w:pPr>
        <w:pStyle w:val="Heading1"/>
      </w:pPr>
      <w:bookmarkStart w:id="7" w:name="O_993944"/>
      <w:bookmarkEnd w:id="7"/>
      <w:r w:rsidRPr="00F142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rPr>
                <w:rStyle w:val="SpecialBold"/>
              </w:rPr>
              <w:t>Equivalence status</w:t>
            </w:r>
          </w:p>
        </w:tc>
      </w:tr>
      <w:tr w:rsidTr="00F1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FBPBPG3005 Operate the tirage and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FDFBP2007A Operate the tirage and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 xml:space="preserve">Updated to meet Standards for Training Packages  </w:t>
            </w:r>
          </w:p>
          <w:p w:rsidR="00000000" w:rsidRPr="00F142C5" w:rsidP="00F142C5">
            <w:pPr>
              <w:pStyle w:val="BodyText"/>
            </w:pPr>
            <w:r w:rsidRPr="00F142C5">
              <w:t xml:space="preserve">Minor changes to Performance Criteria for clarity  </w:t>
            </w:r>
          </w:p>
          <w:p w:rsidR="00000000" w:rsidP="00F142C5">
            <w:pPr>
              <w:pStyle w:val="BodyText"/>
              <w:rPr>
                <w:lang w:val="en-NZ"/>
              </w:rPr>
            </w:pPr>
            <w:r w:rsidRPr="00F142C5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2C5" w:rsidP="00F142C5">
            <w:pPr>
              <w:pStyle w:val="BodyText"/>
            </w:pPr>
            <w:r w:rsidRPr="00F142C5">
              <w:t>Equivalent unit</w:t>
            </w:r>
          </w:p>
        </w:tc>
      </w:tr>
    </w:tbl>
    <w:p w:rsidR="00000000" w:rsidRPr="00F142C5" w:rsidP="00F142C5">
      <w:pPr>
        <w:pStyle w:val="BodyText"/>
      </w:pPr>
    </w:p>
    <w:p w:rsidR="00000000" w:rsidRPr="00F142C5" w:rsidP="00F142C5">
      <w:pPr>
        <w:pStyle w:val="AllowPageBreak"/>
      </w:pPr>
    </w:p>
    <w:p w:rsidR="00000000" w:rsidRPr="00F142C5" w:rsidP="00F142C5">
      <w:pPr>
        <w:pStyle w:val="Heading1"/>
      </w:pPr>
      <w:bookmarkStart w:id="8" w:name="O_993951"/>
      <w:bookmarkEnd w:id="8"/>
      <w:r w:rsidRPr="00F142C5">
        <w:t>Links</w:t>
      </w:r>
    </w:p>
    <w:p w:rsidR="00000000" w:rsidRPr="00F142C5" w:rsidP="00496B9E">
      <w:pPr>
        <w:pStyle w:val="BodyText"/>
      </w:pPr>
      <w:r w:rsidRPr="00F142C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41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142C5" w:rsidP="00F142C5"/>
    <w:sectPr w:rsidSect="00F14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C5" w:rsidRPr="00496B9E" w:rsidP="00496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9E" w:rsidP="00F14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B9E" w:rsidP="00F14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6B9E" w:rsidP="00F14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2C5" w:rsidRPr="00496B9E" w:rsidP="00496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9E" w:rsidRPr="002D2AF8" w:rsidP="00F14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FBPBPG3005 Operate the tirage and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96B9E" w:rsidP="00F14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4B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45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2C5"/>
  </w:style>
  <w:style w:type="character" w:customStyle="1" w:styleId="Heading1Char">
    <w:name w:val="Heading 1 Char"/>
    <w:basedOn w:val="DefaultParagraphFont"/>
    <w:link w:val="Heading1"/>
    <w:rsid w:val="00F14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2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2C5"/>
    <w:rPr>
      <w:b/>
      <w:spacing w:val="0"/>
    </w:rPr>
  </w:style>
  <w:style w:type="character" w:styleId="Emphasis">
    <w:name w:val="Emphasis"/>
    <w:basedOn w:val="DefaultParagraphFont"/>
    <w:qFormat/>
    <w:rsid w:val="00F142C5"/>
    <w:rPr>
      <w:i/>
    </w:rPr>
  </w:style>
  <w:style w:type="paragraph" w:customStyle="1" w:styleId="SuperHeading">
    <w:name w:val="SuperHeading"/>
    <w:basedOn w:val="Normal"/>
    <w:rsid w:val="00F14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2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2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2C5"/>
  </w:style>
  <w:style w:type="paragraph" w:styleId="TableofFigures">
    <w:name w:val="table of figures"/>
    <w:basedOn w:val="Normal"/>
    <w:next w:val="Normal"/>
    <w:semiHidden/>
    <w:rsid w:val="00F14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2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2C5"/>
    <w:rPr>
      <w:rFonts w:ascii="Wingdings" w:hAnsi="Wingdings"/>
    </w:rPr>
  </w:style>
  <w:style w:type="paragraph" w:customStyle="1" w:styleId="TableHeading">
    <w:name w:val="Table Heading"/>
    <w:basedOn w:val="HeadingBase"/>
    <w:rsid w:val="00F14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2C5"/>
    <w:rPr>
      <w:color w:val="0033CC"/>
      <w:u w:val="none"/>
    </w:rPr>
  </w:style>
  <w:style w:type="paragraph" w:customStyle="1" w:styleId="BodyTextRight">
    <w:name w:val="Body Text Right"/>
    <w:basedOn w:val="BodyText"/>
    <w:rsid w:val="00F14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2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2C5"/>
    <w:rPr>
      <w:sz w:val="32"/>
    </w:rPr>
  </w:style>
  <w:style w:type="paragraph" w:customStyle="1" w:styleId="HeadingProcedure">
    <w:name w:val="Heading Procedure"/>
    <w:basedOn w:val="HeadingBase"/>
    <w:next w:val="Normal"/>
    <w:rsid w:val="00F14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2C5"/>
    <w:pPr>
      <w:spacing w:before="60" w:after="60"/>
    </w:pPr>
  </w:style>
  <w:style w:type="paragraph" w:styleId="ListContinue">
    <w:name w:val="List Continue"/>
    <w:basedOn w:val="List"/>
    <w:rsid w:val="00F142C5"/>
    <w:pPr>
      <w:ind w:firstLine="0"/>
    </w:pPr>
  </w:style>
  <w:style w:type="paragraph" w:customStyle="1" w:styleId="ListNote">
    <w:name w:val="List Note"/>
    <w:basedOn w:val="List"/>
    <w:rsid w:val="00F14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2C5"/>
    <w:rPr>
      <w:rFonts w:ascii="Courier New" w:hAnsi="Courier New"/>
    </w:rPr>
  </w:style>
  <w:style w:type="paragraph" w:customStyle="1" w:styleId="NoteBullet">
    <w:name w:val="Note Bullet"/>
    <w:basedOn w:val="Note"/>
    <w:rsid w:val="00F14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2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2C5"/>
    <w:rPr>
      <w:b/>
      <w:smallCaps/>
    </w:rPr>
  </w:style>
  <w:style w:type="paragraph" w:customStyle="1" w:styleId="TableListNumber">
    <w:name w:val="Table List Number"/>
    <w:basedOn w:val="ListNumber"/>
    <w:rsid w:val="00F14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2C5"/>
    <w:pPr>
      <w:numPr>
        <w:numId w:val="8"/>
      </w:numPr>
    </w:pPr>
  </w:style>
  <w:style w:type="paragraph" w:customStyle="1" w:styleId="ListAlpha2">
    <w:name w:val="List Alpha 2"/>
    <w:basedOn w:val="List2"/>
    <w:rsid w:val="00F142C5"/>
    <w:pPr>
      <w:numPr>
        <w:numId w:val="7"/>
      </w:numPr>
    </w:pPr>
  </w:style>
  <w:style w:type="paragraph" w:styleId="List2">
    <w:name w:val="List 2"/>
    <w:basedOn w:val="BodyText"/>
    <w:rsid w:val="00F14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2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2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2C5"/>
    <w:pPr>
      <w:numPr>
        <w:numId w:val="3"/>
      </w:numPr>
    </w:pPr>
  </w:style>
  <w:style w:type="paragraph" w:styleId="ListContinue2">
    <w:name w:val="List Continue 2"/>
    <w:basedOn w:val="List2"/>
    <w:rsid w:val="00F142C5"/>
    <w:pPr>
      <w:ind w:firstLine="0"/>
    </w:pPr>
  </w:style>
  <w:style w:type="paragraph" w:styleId="ListContinue3">
    <w:name w:val="List Continue 3"/>
    <w:basedOn w:val="List3"/>
    <w:rsid w:val="00F142C5"/>
    <w:pPr>
      <w:ind w:left="1021" w:firstLine="0"/>
    </w:pPr>
  </w:style>
  <w:style w:type="paragraph" w:styleId="ListContinue4">
    <w:name w:val="List Continue 4"/>
    <w:basedOn w:val="List4"/>
    <w:rsid w:val="00F142C5"/>
    <w:pPr>
      <w:ind w:firstLine="0"/>
    </w:pPr>
  </w:style>
  <w:style w:type="paragraph" w:styleId="ListContinue5">
    <w:name w:val="List Continue 5"/>
    <w:basedOn w:val="List5"/>
    <w:rsid w:val="00F142C5"/>
    <w:pPr>
      <w:ind w:firstLine="0"/>
    </w:pPr>
  </w:style>
  <w:style w:type="paragraph" w:styleId="ListNumber3">
    <w:name w:val="List Number 3"/>
    <w:basedOn w:val="List3"/>
    <w:rsid w:val="00F142C5"/>
    <w:pPr>
      <w:numPr>
        <w:numId w:val="4"/>
      </w:numPr>
    </w:pPr>
  </w:style>
  <w:style w:type="paragraph" w:styleId="ListNumber4">
    <w:name w:val="List Number 4"/>
    <w:basedOn w:val="List4"/>
    <w:rsid w:val="00F142C5"/>
    <w:pPr>
      <w:numPr>
        <w:numId w:val="5"/>
      </w:numPr>
    </w:pPr>
  </w:style>
  <w:style w:type="paragraph" w:styleId="ListNumber5">
    <w:name w:val="List Number 5"/>
    <w:basedOn w:val="List5"/>
    <w:rsid w:val="00F142C5"/>
    <w:pPr>
      <w:numPr>
        <w:numId w:val="6"/>
      </w:numPr>
    </w:pPr>
  </w:style>
  <w:style w:type="paragraph" w:styleId="BlockText">
    <w:name w:val="Block Text"/>
    <w:basedOn w:val="Normal"/>
    <w:rsid w:val="00F14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2C5"/>
    <w:rPr>
      <w:sz w:val="16"/>
      <w:vertAlign w:val="superscript"/>
    </w:rPr>
  </w:style>
  <w:style w:type="character" w:customStyle="1" w:styleId="Symbols">
    <w:name w:val="Symbols"/>
    <w:basedOn w:val="DefaultParagraphFont"/>
    <w:rsid w:val="00F142C5"/>
    <w:rPr>
      <w:rFonts w:ascii="Symbol" w:hAnsi="Symbol"/>
    </w:rPr>
  </w:style>
  <w:style w:type="character" w:customStyle="1" w:styleId="MenuOptions">
    <w:name w:val="Menu Options"/>
    <w:basedOn w:val="DefaultParagraphFont"/>
    <w:rsid w:val="00F14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2C5"/>
    <w:rPr>
      <w:b/>
    </w:rPr>
  </w:style>
  <w:style w:type="character" w:customStyle="1" w:styleId="Underlined">
    <w:name w:val="Underlined"/>
    <w:basedOn w:val="DefaultParagraphFont"/>
    <w:rsid w:val="00F142C5"/>
    <w:rPr>
      <w:u w:val="single"/>
    </w:rPr>
  </w:style>
  <w:style w:type="paragraph" w:customStyle="1" w:styleId="TableBodyTextRight">
    <w:name w:val="Table Body Text Right"/>
    <w:basedOn w:val="TableBodyText"/>
    <w:rsid w:val="00F14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2C5"/>
    <w:rPr>
      <w:sz w:val="18"/>
    </w:rPr>
  </w:style>
  <w:style w:type="paragraph" w:customStyle="1" w:styleId="BodySmallRight">
    <w:name w:val="Body Small Right"/>
    <w:basedOn w:val="BodyTextRight"/>
    <w:rsid w:val="00F142C5"/>
    <w:rPr>
      <w:sz w:val="18"/>
      <w:szCs w:val="18"/>
    </w:rPr>
  </w:style>
  <w:style w:type="paragraph" w:customStyle="1" w:styleId="MarginEdition">
    <w:name w:val="Margin Edition"/>
    <w:basedOn w:val="MarginNote"/>
    <w:rsid w:val="00F14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2C5"/>
    <w:rPr>
      <w:sz w:val="2"/>
      <w:szCs w:val="2"/>
    </w:rPr>
  </w:style>
  <w:style w:type="character" w:customStyle="1" w:styleId="Small">
    <w:name w:val="Small"/>
    <w:basedOn w:val="DefaultParagraphFont"/>
    <w:rsid w:val="00F142C5"/>
    <w:rPr>
      <w:sz w:val="16"/>
    </w:rPr>
  </w:style>
  <w:style w:type="paragraph" w:customStyle="1" w:styleId="WideTable">
    <w:name w:val="Wide Table"/>
    <w:basedOn w:val="Normal"/>
    <w:rsid w:val="00F14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2C5"/>
  </w:style>
  <w:style w:type="paragraph" w:styleId="Quote">
    <w:name w:val="Quote"/>
    <w:basedOn w:val="Heading1"/>
    <w:link w:val="QuoteChar"/>
    <w:qFormat/>
    <w:rsid w:val="00F14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2C5"/>
    <w:pPr>
      <w:pageBreakBefore/>
    </w:pPr>
  </w:style>
  <w:style w:type="paragraph" w:customStyle="1" w:styleId="Border">
    <w:name w:val="Border"/>
    <w:basedOn w:val="Normal"/>
    <w:qFormat/>
    <w:rsid w:val="00F14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2C5"/>
    <w:rPr>
      <w:u w:val="single"/>
    </w:rPr>
  </w:style>
  <w:style w:type="character" w:customStyle="1" w:styleId="BoldandItalics">
    <w:name w:val="Bold and Italics"/>
    <w:qFormat/>
    <w:rsid w:val="00F142C5"/>
    <w:rPr>
      <w:b/>
      <w:i/>
      <w:u w:val="none"/>
    </w:rPr>
  </w:style>
  <w:style w:type="paragraph" w:styleId="BalloonText">
    <w:name w:val="Balloon Text"/>
    <w:basedOn w:val="Normal"/>
    <w:link w:val="BalloonTextChar"/>
    <w:rsid w:val="00F14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2C5"/>
    <w:pPr>
      <w:spacing w:before="0" w:after="0"/>
    </w:pPr>
  </w:style>
  <w:style w:type="paragraph" w:customStyle="1" w:styleId="BodyTextBold">
    <w:name w:val="Body Text Bold"/>
    <w:basedOn w:val="BodyText"/>
    <w:qFormat/>
    <w:rsid w:val="00F142C5"/>
    <w:rPr>
      <w:b/>
    </w:rPr>
  </w:style>
  <w:style w:type="character" w:styleId="Hyperlink">
    <w:name w:val="Hyperlink"/>
    <w:basedOn w:val="DefaultParagraphFont"/>
    <w:uiPriority w:val="99"/>
    <w:unhideWhenUsed/>
    <w:rsid w:val="00496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3603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FBPBPG3005 Operate the tirage and transfer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2022-04-19T18:09:00Z</dcterms:created>
  <dcterms:modified xsi:type="dcterms:W3CDTF">2022-04-19T18:09:00Z</dcterms:modified>
</cp:coreProperties>
</file>