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143" w:rsidP="001A5143">
      <w:pPr>
        <w:pStyle w:val="Title"/>
      </w:pPr>
      <w:r>
        <w:fldChar w:fldCharType="begin"/>
      </w:r>
      <w:r>
        <w:instrText xml:space="preserve"> TITLE   \* MERGEFORMAT </w:instrText>
      </w:r>
      <w:r>
        <w:fldChar w:fldCharType="separate"/>
      </w:r>
      <w:r>
        <w:t>Assessment Requirements for FBPBPG2011 Operate a fill and seal process</w:t>
      </w:r>
      <w:r>
        <w:fldChar w:fldCharType="end"/>
      </w:r>
    </w:p>
    <w:p w:rsidR="001A5143" w:rsidP="001A5143">
      <w:pPr>
        <w:pStyle w:val="Version"/>
        <w:sectPr w:rsidSect="00D202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2E0" w:rsidP="00D202E0">
      <w:pPr>
        <w:pStyle w:val="SuperHeading"/>
      </w:pPr>
      <w:r w:rsidRPr="00D202E0">
        <w:t>Assessment Requirements for FBPBPG2011 Operate a fill and seal process</w:t>
      </w:r>
    </w:p>
    <w:p w:rsidR="00000000" w:rsidRPr="00D202E0" w:rsidP="00D202E0">
      <w:pPr>
        <w:pStyle w:val="Heading1"/>
      </w:pPr>
      <w:bookmarkStart w:id="1" w:name="O_1186246"/>
      <w:bookmarkEnd w:id="1"/>
      <w:r w:rsidRPr="00D202E0">
        <w:t>Modification History</w:t>
      </w:r>
    </w:p>
    <w:tbl>
      <w:tblPr>
        <w:tblW w:w="9520" w:type="dxa"/>
        <w:tblLayout w:type="fixed"/>
        <w:tblCellMar>
          <w:left w:w="62" w:type="dxa"/>
          <w:right w:w="62" w:type="dxa"/>
        </w:tblCellMar>
        <w:tblLook w:val="0000"/>
      </w:tblPr>
      <w:tblGrid>
        <w:gridCol w:w="2580"/>
        <w:gridCol w:w="6940"/>
      </w:tblGrid>
      <w:tr w:rsidTr="00D202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2E0">
            <w:pPr>
              <w:pStyle w:val="BodyTextBold"/>
              <w:rPr>
                <w:lang w:val="en-NZ"/>
              </w:rPr>
            </w:pPr>
            <w:r w:rsidRPr="00D202E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2E0">
            <w:pPr>
              <w:pStyle w:val="BodyTextBold"/>
              <w:rPr>
                <w:lang w:val="en-NZ"/>
              </w:rPr>
            </w:pPr>
            <w:r w:rsidRPr="00D202E0">
              <w:t>Comments</w:t>
            </w:r>
          </w:p>
        </w:tc>
      </w:tr>
      <w:tr w:rsidTr="00D202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2E0">
            <w:pPr>
              <w:pStyle w:val="BodyText"/>
              <w:rPr>
                <w:lang w:val="en-NZ"/>
              </w:rPr>
            </w:pPr>
            <w:r w:rsidRPr="00D202E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2E0" w:rsidP="00D202E0">
            <w:pPr>
              <w:pStyle w:val="BodyText"/>
            </w:pPr>
            <w:r w:rsidRPr="00D202E0">
              <w:t>This version released with FBP Food, Beverage and Pharmaceutical Training Package Version 6.0.</w:t>
            </w:r>
          </w:p>
        </w:tc>
      </w:tr>
    </w:tbl>
    <w:p w:rsidR="00000000" w:rsidRPr="00D202E0" w:rsidP="00D202E0">
      <w:pPr>
        <w:pStyle w:val="BodyText"/>
      </w:pPr>
    </w:p>
    <w:p w:rsidR="00000000" w:rsidRPr="00D202E0" w:rsidP="00D202E0">
      <w:pPr>
        <w:pStyle w:val="AllowPageBreak"/>
      </w:pPr>
    </w:p>
    <w:p w:rsidR="00000000" w:rsidRPr="00D202E0" w:rsidP="00D202E0">
      <w:pPr>
        <w:pStyle w:val="Heading1"/>
      </w:pPr>
      <w:bookmarkStart w:id="2" w:name="O_1186247"/>
      <w:bookmarkEnd w:id="2"/>
      <w:r w:rsidRPr="00D202E0">
        <w:t>Performance Evidence</w:t>
      </w:r>
    </w:p>
    <w:p w:rsidR="00000000" w:rsidRPr="00D202E0" w:rsidP="001A5143">
      <w:pPr>
        <w:pStyle w:val="BodyText"/>
      </w:pPr>
      <w:r w:rsidRPr="00D202E0">
        <w:t>An individual demonstrating competency must satisfy all of the elements and performance criteria in this unit.</w:t>
      </w:r>
    </w:p>
    <w:p w:rsidR="00000000" w:rsidRPr="00D202E0" w:rsidP="001A5143">
      <w:pPr>
        <w:pStyle w:val="BodyText"/>
      </w:pPr>
      <w:r w:rsidRPr="00D202E0">
        <w:t>There must be evidence that the individual has operated a fill and seal process to package one batch of product to specifica</w:t>
      </w:r>
      <w:r w:rsidRPr="00D202E0">
        <w:t>tion, including:</w:t>
      </w:r>
    </w:p>
    <w:p w:rsidR="00000000" w:rsidRPr="00D202E0" w:rsidP="00D202E0">
      <w:pPr>
        <w:pStyle w:val="ListBullet"/>
      </w:pPr>
      <w:r w:rsidRPr="00D202E0">
        <w:t>monitoring control points and conducting inspections as required to confirm process remains within specification, including:</w:t>
      </w:r>
    </w:p>
    <w:p w:rsidR="00000000" w:rsidRPr="00D202E0" w:rsidP="00D202E0">
      <w:pPr>
        <w:pStyle w:val="ListBullet2"/>
      </w:pPr>
      <w:r w:rsidRPr="00D202E0">
        <w:t>flow rates</w:t>
      </w:r>
    </w:p>
    <w:p w:rsidR="00000000" w:rsidRPr="00D202E0" w:rsidP="00D202E0">
      <w:pPr>
        <w:pStyle w:val="ListBullet2"/>
      </w:pPr>
      <w:r w:rsidRPr="00D202E0">
        <w:t>product weights and volumes</w:t>
      </w:r>
    </w:p>
    <w:p w:rsidR="00000000" w:rsidRPr="00D202E0" w:rsidP="00D202E0">
      <w:pPr>
        <w:pStyle w:val="ListBullet2"/>
      </w:pPr>
      <w:r w:rsidRPr="00D202E0">
        <w:t>fill levels</w:t>
      </w:r>
    </w:p>
    <w:p w:rsidR="00000000" w:rsidRPr="00D202E0" w:rsidP="00D202E0">
      <w:pPr>
        <w:pStyle w:val="ListBullet2"/>
      </w:pPr>
      <w:r w:rsidRPr="00D202E0">
        <w:t>times and temperatures, including product and sealing temperatures</w:t>
      </w:r>
    </w:p>
    <w:p w:rsidR="00000000" w:rsidRPr="00D202E0" w:rsidP="00D202E0">
      <w:pPr>
        <w:pStyle w:val="ListBullet2"/>
      </w:pPr>
      <w:r w:rsidRPr="00D202E0">
        <w:t>supply of packaging components/consumables</w:t>
      </w:r>
    </w:p>
    <w:p w:rsidR="00000000" w:rsidRPr="00D202E0" w:rsidP="00D202E0">
      <w:pPr>
        <w:pStyle w:val="ListBullet2"/>
      </w:pPr>
      <w:r w:rsidRPr="00D202E0">
        <w:t>packaging quality and seal integrity, including testing seal integrity</w:t>
      </w:r>
    </w:p>
    <w:p w:rsidR="00000000" w:rsidRPr="00D202E0" w:rsidP="00D202E0">
      <w:pPr>
        <w:pStyle w:val="ListBullet"/>
      </w:pPr>
      <w:r w:rsidRPr="00D202E0">
        <w:t>following safe work procedures</w:t>
      </w:r>
    </w:p>
    <w:p w:rsidR="00000000" w:rsidRPr="00D202E0" w:rsidP="00D202E0">
      <w:pPr>
        <w:pStyle w:val="ListBullet"/>
      </w:pPr>
      <w:r w:rsidRPr="00D202E0">
        <w:t>addressing routine processing issues.</w:t>
      </w:r>
    </w:p>
    <w:p w:rsidR="00000000" w:rsidRPr="00D202E0" w:rsidP="00D202E0">
      <w:pPr>
        <w:pStyle w:val="AllowPageBreak"/>
      </w:pPr>
    </w:p>
    <w:p w:rsidR="00000000" w:rsidRPr="00D202E0" w:rsidP="00D202E0">
      <w:pPr>
        <w:pStyle w:val="Heading1"/>
      </w:pPr>
      <w:bookmarkStart w:id="3" w:name="O_1186248"/>
      <w:bookmarkEnd w:id="3"/>
      <w:r w:rsidRPr="00D202E0">
        <w:t>Knowledge Evidence</w:t>
      </w:r>
    </w:p>
    <w:p w:rsidR="00000000" w:rsidRPr="00D202E0" w:rsidP="001A5143">
      <w:pPr>
        <w:pStyle w:val="BodyText"/>
      </w:pPr>
      <w:r w:rsidRPr="00D202E0">
        <w:t>An individual must be able to demonstrate the knowledge required to perform the tasks outlined in the elements and performance criteria of this unit. This includes knowledge of:</w:t>
      </w:r>
    </w:p>
    <w:p w:rsidR="00000000" w:rsidRPr="00D202E0" w:rsidP="00D202E0">
      <w:pPr>
        <w:pStyle w:val="ListBullet"/>
      </w:pPr>
      <w:r w:rsidRPr="00D202E0">
        <w:t xml:space="preserve">purpose and basic principles of filling and </w:t>
      </w:r>
      <w:r w:rsidRPr="00D202E0">
        <w:t>sealing, including the purpose and characteristics required of packaging materials used and the method used to fill and seal product (where methods involve vacuum or map packaging, this includes an understanding of the effect of modified atmosphere on prod</w:t>
      </w:r>
      <w:r w:rsidRPr="00D202E0">
        <w:t>uct shelf-life)</w:t>
      </w:r>
    </w:p>
    <w:p w:rsidR="00000000" w:rsidRPr="00D202E0" w:rsidP="00D202E0">
      <w:pPr>
        <w:pStyle w:val="ListBullet"/>
      </w:pPr>
      <w:r w:rsidRPr="00D202E0">
        <w:t>product and packaging coding requirements, including product weight</w:t>
      </w:r>
    </w:p>
    <w:p w:rsidR="00000000" w:rsidRPr="00D202E0" w:rsidP="00D202E0">
      <w:pPr>
        <w:pStyle w:val="ListBullet"/>
      </w:pPr>
      <w:r w:rsidRPr="00D202E0">
        <w:t>basic operating principles of filling and sealing equipment, including:</w:t>
      </w:r>
    </w:p>
    <w:p w:rsidR="00000000" w:rsidRPr="00D202E0" w:rsidP="00D202E0">
      <w:pPr>
        <w:pStyle w:val="ListBullet2"/>
      </w:pPr>
      <w:r w:rsidRPr="00D202E0">
        <w:t>main equipment components</w:t>
      </w:r>
    </w:p>
    <w:p w:rsidR="00000000" w:rsidRPr="00D202E0" w:rsidP="00D202E0">
      <w:pPr>
        <w:pStyle w:val="ListBullet2"/>
      </w:pPr>
      <w:r w:rsidRPr="00D202E0">
        <w:t>status and purpose of guards</w:t>
      </w:r>
    </w:p>
    <w:p w:rsidR="00000000" w:rsidRPr="00D202E0" w:rsidP="00D202E0">
      <w:pPr>
        <w:pStyle w:val="ListBullet2"/>
      </w:pPr>
      <w:r w:rsidRPr="00D202E0">
        <w:t>equipment operating capacities and applications</w:t>
      </w:r>
    </w:p>
    <w:p w:rsidR="00000000" w:rsidRPr="00D202E0" w:rsidP="00D202E0">
      <w:pPr>
        <w:pStyle w:val="ListBullet2"/>
      </w:pPr>
      <w:r w:rsidRPr="00D202E0">
        <w:t>the purpose and location of sensors and related feedback instrumentation</w:t>
      </w:r>
    </w:p>
    <w:p w:rsidR="00000000" w:rsidRPr="00D202E0" w:rsidP="00D202E0">
      <w:pPr>
        <w:pStyle w:val="ListBullet2"/>
      </w:pPr>
      <w:r w:rsidRPr="00D202E0">
        <w:t>services required for operation of filling equipment used in the workplace</w:t>
      </w:r>
    </w:p>
    <w:p w:rsidR="00000000" w:rsidRPr="00D202E0" w:rsidP="00D202E0">
      <w:pPr>
        <w:pStyle w:val="ListBullet"/>
      </w:pPr>
      <w:r w:rsidRPr="00D202E0">
        <w:t>the flow of processes supplying the filling and sealing pro</w:t>
      </w:r>
      <w:r w:rsidRPr="00D202E0">
        <w:t>cess, and the effect of outputs on downstream processes</w:t>
      </w:r>
    </w:p>
    <w:p w:rsidR="00000000" w:rsidRPr="00D202E0" w:rsidP="00D202E0">
      <w:pPr>
        <w:pStyle w:val="ListBullet"/>
      </w:pPr>
      <w:r w:rsidRPr="00D202E0">
        <w:t>quality characteristics and requirements of filling and sealing, including:</w:t>
      </w:r>
    </w:p>
    <w:p w:rsidR="00000000" w:rsidRPr="00D202E0" w:rsidP="00D202E0">
      <w:pPr>
        <w:pStyle w:val="ListBullet2"/>
      </w:pPr>
      <w:r w:rsidRPr="00D202E0">
        <w:t>quality requirements of product and packaging components/consumables</w:t>
      </w:r>
    </w:p>
    <w:p w:rsidR="00000000" w:rsidRPr="00D202E0" w:rsidP="00D202E0">
      <w:pPr>
        <w:pStyle w:val="ListBullet2"/>
      </w:pPr>
      <w:r w:rsidRPr="00D202E0">
        <w:t>requirements of filling, including fill levels and wei</w:t>
      </w:r>
      <w:r w:rsidRPr="00D202E0">
        <w:t>ghts</w:t>
      </w:r>
    </w:p>
    <w:p w:rsidR="00000000" w:rsidRPr="00D202E0" w:rsidP="00D202E0">
      <w:pPr>
        <w:pStyle w:val="ListBullet2"/>
      </w:pPr>
      <w:r w:rsidRPr="00D202E0">
        <w:t>requirements of seal formation and integrity, and integrity testing procedures, where required</w:t>
      </w:r>
    </w:p>
    <w:p w:rsidR="00000000" w:rsidRPr="00D202E0" w:rsidP="00D202E0">
      <w:pPr>
        <w:pStyle w:val="ListBullet"/>
      </w:pPr>
      <w:r w:rsidRPr="00D202E0">
        <w:t xml:space="preserve">methods used to monitor the process, including inspecting, measuring and testing </w:t>
      </w:r>
    </w:p>
    <w:p w:rsidR="00000000" w:rsidRPr="00D202E0" w:rsidP="00D202E0">
      <w:pPr>
        <w:pStyle w:val="ListBullet"/>
      </w:pPr>
      <w:r w:rsidRPr="00D202E0">
        <w:t>inspection or test points (control points) in the process and the related</w:t>
      </w:r>
      <w:r w:rsidRPr="00D202E0">
        <w:t xml:space="preserve"> procedures and recording requirements</w:t>
      </w:r>
    </w:p>
    <w:p w:rsidR="00000000" w:rsidRPr="00D202E0" w:rsidP="00D202E0">
      <w:pPr>
        <w:pStyle w:val="ListBullet"/>
      </w:pPr>
      <w:r w:rsidRPr="00D202E0">
        <w:t>operating requirements and parameters, and corrective action required where operation is outside specified operating parameters, including procedures to clear a breach and restart following a crash or jam-up, as appro</w:t>
      </w:r>
      <w:r w:rsidRPr="00D202E0">
        <w:t>priate</w:t>
      </w:r>
    </w:p>
    <w:p w:rsidR="00000000" w:rsidRPr="00D202E0" w:rsidP="00D202E0">
      <w:pPr>
        <w:pStyle w:val="ListBullet"/>
      </w:pPr>
      <w:r w:rsidRPr="00D202E0">
        <w:t>typical equipment faults and related causes, including signs and symptoms of faulty equipment, and early warning signs of potential problems</w:t>
      </w:r>
    </w:p>
    <w:p w:rsidR="00000000" w:rsidRPr="00D202E0" w:rsidP="00D202E0">
      <w:pPr>
        <w:pStyle w:val="ListBullet"/>
      </w:pPr>
      <w:r w:rsidRPr="00D202E0">
        <w:t>common causes of variation, and corrective action required, including the effect of variation in both produc</w:t>
      </w:r>
      <w:r w:rsidRPr="00D202E0">
        <w:t>t and packaging components/consumables on filling and sealing performance, which also includes the effect of temperature variation on the filling process</w:t>
      </w:r>
    </w:p>
    <w:p w:rsidR="00000000" w:rsidRPr="00D202E0" w:rsidP="00D202E0">
      <w:pPr>
        <w:pStyle w:val="ListBullet"/>
      </w:pPr>
      <w:r w:rsidRPr="00D202E0">
        <w:t>food safety hazards and risks associated with filling and sealing, and related control measures</w:t>
      </w:r>
    </w:p>
    <w:p w:rsidR="00000000" w:rsidRPr="00D202E0" w:rsidP="00D202E0">
      <w:pPr>
        <w:pStyle w:val="ListBullet"/>
      </w:pPr>
      <w:r w:rsidRPr="00D202E0">
        <w:t>health and safety hazards and controls requirements, including emergency and routine shutdowns, and procedures to follow in the event of a power outage</w:t>
      </w:r>
    </w:p>
    <w:p w:rsidR="00000000" w:rsidRPr="00D202E0" w:rsidP="00D202E0">
      <w:pPr>
        <w:pStyle w:val="ListBullet"/>
      </w:pPr>
      <w:r w:rsidRPr="00D202E0">
        <w:t>isolation, lock-out and tag-out procedures and responsibilities</w:t>
      </w:r>
    </w:p>
    <w:p w:rsidR="00000000" w:rsidRPr="00D202E0" w:rsidP="00D202E0">
      <w:pPr>
        <w:pStyle w:val="ListBullet"/>
      </w:pPr>
      <w:r w:rsidRPr="00D202E0">
        <w:t>procedures and responsibility for report</w:t>
      </w:r>
      <w:r w:rsidRPr="00D202E0">
        <w:t>ing production and performance information</w:t>
      </w:r>
    </w:p>
    <w:p w:rsidR="00000000" w:rsidRPr="00D202E0" w:rsidP="00D202E0">
      <w:pPr>
        <w:pStyle w:val="ListBullet"/>
      </w:pPr>
      <w:r w:rsidRPr="00D202E0">
        <w:t>environmental issues and controls relevant to the filling and sealing process, including waste/rework collection and handling procedures related to the process</w:t>
      </w:r>
    </w:p>
    <w:p w:rsidR="00000000" w:rsidRPr="00D202E0" w:rsidP="00D202E0">
      <w:pPr>
        <w:pStyle w:val="ListBullet"/>
      </w:pPr>
      <w:r w:rsidRPr="00D202E0">
        <w:t>basic operating principles of process control, includ</w:t>
      </w:r>
      <w:r w:rsidRPr="00D202E0">
        <w:t>ing the relationship between control panels and systems and the physical equipment</w:t>
      </w:r>
    </w:p>
    <w:p w:rsidR="00000000" w:rsidRPr="00D202E0" w:rsidP="00D202E0">
      <w:pPr>
        <w:pStyle w:val="ListBullet"/>
      </w:pPr>
      <w:r w:rsidRPr="00D202E0">
        <w:t>aseptic filling and sealing requirements</w:t>
      </w:r>
    </w:p>
    <w:p w:rsidR="00000000" w:rsidRPr="00D202E0" w:rsidP="00D202E0">
      <w:pPr>
        <w:pStyle w:val="ListBullet"/>
      </w:pPr>
      <w:r w:rsidRPr="00D202E0">
        <w:t>cleaning and sanitisation procedures for filling and sealing equipment</w:t>
      </w:r>
    </w:p>
    <w:p w:rsidR="00000000" w:rsidRPr="00D202E0" w:rsidP="00D202E0">
      <w:pPr>
        <w:pStyle w:val="ListBullet"/>
      </w:pPr>
      <w:r w:rsidRPr="00D202E0">
        <w:t>recording requirements for traceability of product.</w:t>
      </w:r>
    </w:p>
    <w:p w:rsidR="00000000" w:rsidRPr="00D202E0" w:rsidP="00D202E0">
      <w:pPr>
        <w:pStyle w:val="AllowPageBreak"/>
      </w:pPr>
    </w:p>
    <w:p w:rsidR="00000000" w:rsidRPr="00D202E0" w:rsidP="00D202E0">
      <w:pPr>
        <w:pStyle w:val="Heading1"/>
      </w:pPr>
      <w:bookmarkStart w:id="4" w:name="O_1186249"/>
      <w:bookmarkEnd w:id="4"/>
      <w:r w:rsidRPr="00D202E0">
        <w:t>Assessment Conditions</w:t>
      </w:r>
    </w:p>
    <w:p w:rsidR="00000000" w:rsidRPr="00D202E0" w:rsidP="001A5143">
      <w:pPr>
        <w:pStyle w:val="BodyText"/>
      </w:pPr>
      <w:r w:rsidRPr="00D202E0">
        <w:t>Assessment of the skills in this unit of competency must take place under the following conditions:</w:t>
      </w:r>
    </w:p>
    <w:p w:rsidR="00000000" w:rsidRPr="00D202E0" w:rsidP="00D202E0">
      <w:pPr>
        <w:pStyle w:val="ListBullet"/>
      </w:pPr>
      <w:r w:rsidRPr="00D202E0">
        <w:t>physical conditions:</w:t>
      </w:r>
    </w:p>
    <w:p w:rsidR="00000000" w:rsidRPr="00D202E0" w:rsidP="00D202E0">
      <w:pPr>
        <w:pStyle w:val="ListBullet2"/>
      </w:pPr>
      <w:r w:rsidRPr="00D202E0">
        <w:t>a food processing packing workplace or an environment that accurately represents workplace conditions</w:t>
      </w:r>
    </w:p>
    <w:p w:rsidR="00000000" w:rsidRPr="00D202E0" w:rsidP="00D202E0">
      <w:pPr>
        <w:pStyle w:val="ListBullet"/>
      </w:pPr>
      <w:r w:rsidRPr="00D202E0">
        <w:t>resources, equipment and materials:</w:t>
      </w:r>
    </w:p>
    <w:p w:rsidR="00000000" w:rsidRPr="00D202E0" w:rsidP="00D202E0">
      <w:pPr>
        <w:pStyle w:val="ListBullet2"/>
      </w:pPr>
      <w:r w:rsidRPr="00D202E0">
        <w:t>filling and sealing equipment and related services</w:t>
      </w:r>
    </w:p>
    <w:p w:rsidR="00000000" w:rsidRPr="00D202E0" w:rsidP="00D202E0">
      <w:pPr>
        <w:pStyle w:val="ListBullet2"/>
      </w:pPr>
      <w:r w:rsidRPr="00D202E0">
        <w:t>personal protective equipment</w:t>
      </w:r>
    </w:p>
    <w:p w:rsidR="00000000" w:rsidRPr="00D202E0" w:rsidP="00D202E0">
      <w:pPr>
        <w:pStyle w:val="ListBullet2"/>
      </w:pPr>
      <w:r w:rsidRPr="00D202E0">
        <w:t>materials and packaging components/consumables to be formed and filled</w:t>
      </w:r>
    </w:p>
    <w:p w:rsidR="00000000" w:rsidRPr="00D202E0" w:rsidP="00D202E0">
      <w:pPr>
        <w:pStyle w:val="ListBullet2"/>
      </w:pPr>
      <w:r w:rsidRPr="00D202E0">
        <w:t>product</w:t>
      </w:r>
    </w:p>
    <w:p w:rsidR="00000000" w:rsidRPr="00D202E0" w:rsidP="00D202E0">
      <w:pPr>
        <w:pStyle w:val="ListBullet2"/>
      </w:pPr>
      <w:r w:rsidRPr="00D202E0">
        <w:t>cleaning materials and equipment</w:t>
      </w:r>
    </w:p>
    <w:p w:rsidR="00000000" w:rsidRPr="00D202E0" w:rsidP="00D202E0">
      <w:pPr>
        <w:pStyle w:val="ListBullet"/>
      </w:pPr>
      <w:r w:rsidRPr="00D202E0">
        <w:t>specifications:</w:t>
      </w:r>
    </w:p>
    <w:p w:rsidR="00000000" w:rsidRPr="00D202E0" w:rsidP="00D202E0">
      <w:pPr>
        <w:pStyle w:val="ListBullet2"/>
      </w:pPr>
      <w:r w:rsidRPr="00D202E0">
        <w:t>work procedures, including advice on safe work practices, food safety, quality and environmental requirements, stock flow systems and production/packaging schedules</w:t>
      </w:r>
    </w:p>
    <w:p w:rsidR="00000000" w:rsidRPr="00D202E0" w:rsidP="00D202E0">
      <w:pPr>
        <w:pStyle w:val="ListBullet2"/>
      </w:pPr>
      <w:r w:rsidRPr="00D202E0">
        <w:t>information on equipment capacity and operating parameters</w:t>
      </w:r>
    </w:p>
    <w:p w:rsidR="00000000" w:rsidRPr="00D202E0" w:rsidP="00D202E0">
      <w:pPr>
        <w:pStyle w:val="ListBullet2"/>
      </w:pPr>
      <w:r w:rsidRPr="00D202E0">
        <w:t>specifications, control points a</w:t>
      </w:r>
      <w:r w:rsidRPr="00D202E0">
        <w:t>nd operating parameters</w:t>
      </w:r>
    </w:p>
    <w:p w:rsidR="00000000" w:rsidRPr="00D202E0" w:rsidP="00D202E0">
      <w:pPr>
        <w:pStyle w:val="ListBullet2"/>
      </w:pPr>
      <w:r w:rsidRPr="00D202E0">
        <w:t>recording requirements.</w:t>
      </w:r>
    </w:p>
    <w:p w:rsidR="00000000" w:rsidRPr="00D202E0" w:rsidP="001A5143">
      <w:pPr>
        <w:pStyle w:val="BodyText"/>
      </w:pPr>
      <w:r w:rsidRPr="00D202E0">
        <w:t>Assessors of this unit must satisfy the requirements for assessors in applicable vocational education and training legislation, frameworks and/or standards.</w:t>
      </w:r>
    </w:p>
    <w:p w:rsidR="00000000" w:rsidRPr="00D202E0" w:rsidP="00D202E0">
      <w:pPr>
        <w:pStyle w:val="Heading1"/>
      </w:pPr>
      <w:bookmarkStart w:id="5" w:name="O_1186260"/>
      <w:bookmarkEnd w:id="5"/>
      <w:r w:rsidRPr="00D202E0">
        <w:t>Links</w:t>
      </w:r>
    </w:p>
    <w:p w:rsidR="00000000" w:rsidRPr="00D202E0" w:rsidP="001A5143">
      <w:pPr>
        <w:pStyle w:val="BodyText"/>
      </w:pPr>
      <w:r w:rsidRPr="00D202E0">
        <w:t>Companion Volumes, includi</w:t>
      </w:r>
      <w:r w:rsidRPr="00D202E0">
        <w:t xml:space="preserve">ng Implementation Guides, are available at VETNet: - </w:t>
      </w:r>
      <w:r>
        <w:fldChar w:fldCharType="begin"/>
      </w:r>
      <w:r>
        <w:instrText xml:space="preserve"> HYPERLINK "https://vetnet.gov.au/Pages/TrainingDocs.aspx?q=78b15323-cd38-483e-aad7-1159b570a5c4" </w:instrText>
      </w:r>
      <w:r>
        <w:fldChar w:fldCharType="separate"/>
      </w:r>
      <w:r w:rsidRPr="00F74BC1">
        <w:rPr>
          <w:rStyle w:val="Hyperlink"/>
        </w:rPr>
        <w:t>https://vetnet.gov.au/Pages/TrainingDocs.aspx?q=78b15323-cd38-483e-aad7-1159b570a5c4</w:t>
      </w:r>
      <w:r>
        <w:fldChar w:fldCharType="end"/>
      </w:r>
    </w:p>
    <w:p w:rsidR="00000000" w:rsidRPr="00D202E0" w:rsidP="00D202E0"/>
    <w:sectPr w:rsidSect="00D202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2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2E0" w:rsidRPr="001A5143" w:rsidP="001A51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2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143" w:rsidP="00D202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5143" w:rsidP="00D202E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1A5143" w:rsidP="00D202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2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1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2E0" w:rsidRPr="001A5143" w:rsidP="001A51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2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143" w:rsidRPr="002D2AF8" w:rsidP="00D202E0">
    <w:pPr>
      <w:pStyle w:val="Header"/>
      <w:framePr w:wrap="around"/>
    </w:pPr>
    <w:r>
      <w:fldChar w:fldCharType="begin"/>
    </w:r>
    <w:r>
      <w:instrText xml:space="preserve"> TITLE   \* MERGEFORMAT </w:instrText>
    </w:r>
    <w:r>
      <w:fldChar w:fldCharType="separate"/>
    </w:r>
    <w:r>
      <w:t>Assessment Requirements for FBPBPG2011 Operate a fill and seal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1A5143" w:rsidP="00D202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9A8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12A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0696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2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2E0"/>
    <w:pPr>
      <w:spacing w:before="360" w:after="60"/>
      <w:outlineLvl w:val="0"/>
    </w:pPr>
    <w:rPr>
      <w:sz w:val="32"/>
    </w:rPr>
  </w:style>
  <w:style w:type="paragraph" w:styleId="Heading2">
    <w:name w:val="heading 2"/>
    <w:basedOn w:val="HeadingBase"/>
    <w:next w:val="BodyText"/>
    <w:link w:val="Heading2Char"/>
    <w:qFormat/>
    <w:rsid w:val="00D202E0"/>
    <w:pPr>
      <w:keepLines/>
      <w:spacing w:before="240" w:after="120"/>
      <w:outlineLvl w:val="1"/>
    </w:pPr>
    <w:rPr>
      <w:sz w:val="28"/>
      <w:szCs w:val="40"/>
    </w:rPr>
  </w:style>
  <w:style w:type="paragraph" w:styleId="Heading3">
    <w:name w:val="heading 3"/>
    <w:basedOn w:val="HeadingBase"/>
    <w:next w:val="BodyText"/>
    <w:link w:val="Heading3Char"/>
    <w:qFormat/>
    <w:rsid w:val="00D202E0"/>
    <w:pPr>
      <w:spacing w:before="180" w:after="120"/>
      <w:outlineLvl w:val="2"/>
    </w:pPr>
    <w:rPr>
      <w:spacing w:val="-10"/>
      <w:kern w:val="32"/>
    </w:rPr>
  </w:style>
  <w:style w:type="paragraph" w:styleId="Heading4">
    <w:name w:val="heading 4"/>
    <w:basedOn w:val="HeadingBase"/>
    <w:next w:val="BodyText"/>
    <w:link w:val="Heading4Char"/>
    <w:qFormat/>
    <w:rsid w:val="00D202E0"/>
    <w:pPr>
      <w:spacing w:before="160" w:after="120"/>
      <w:outlineLvl w:val="3"/>
    </w:pPr>
    <w:rPr>
      <w:sz w:val="22"/>
    </w:rPr>
  </w:style>
  <w:style w:type="paragraph" w:styleId="Heading5">
    <w:name w:val="heading 5"/>
    <w:basedOn w:val="HeadingBase"/>
    <w:next w:val="Normal"/>
    <w:link w:val="Heading5Char"/>
    <w:qFormat/>
    <w:rsid w:val="00D202E0"/>
    <w:pPr>
      <w:spacing w:before="80"/>
      <w:outlineLvl w:val="4"/>
    </w:pPr>
    <w:rPr>
      <w:color w:val="918585"/>
      <w:sz w:val="20"/>
    </w:rPr>
  </w:style>
  <w:style w:type="paragraph" w:styleId="Heading6">
    <w:name w:val="heading 6"/>
    <w:basedOn w:val="HeadingBase"/>
    <w:next w:val="Normal"/>
    <w:link w:val="Heading6Char"/>
    <w:qFormat/>
    <w:rsid w:val="00D202E0"/>
    <w:pPr>
      <w:spacing w:before="60"/>
      <w:outlineLvl w:val="5"/>
    </w:pPr>
    <w:rPr>
      <w:color w:val="918585"/>
      <w:sz w:val="20"/>
    </w:rPr>
  </w:style>
  <w:style w:type="paragraph" w:styleId="Heading7">
    <w:name w:val="heading 7"/>
    <w:basedOn w:val="Normal"/>
    <w:next w:val="Normal"/>
    <w:link w:val="Heading7Char"/>
    <w:qFormat/>
    <w:rsid w:val="00D202E0"/>
    <w:pPr>
      <w:ind w:left="720"/>
      <w:outlineLvl w:val="6"/>
    </w:pPr>
    <w:rPr>
      <w:i/>
    </w:rPr>
  </w:style>
  <w:style w:type="paragraph" w:styleId="Heading8">
    <w:name w:val="heading 8"/>
    <w:basedOn w:val="Normal"/>
    <w:next w:val="Normal"/>
    <w:link w:val="Heading8Char"/>
    <w:qFormat/>
    <w:rsid w:val="00D202E0"/>
    <w:pPr>
      <w:ind w:left="720"/>
      <w:outlineLvl w:val="7"/>
    </w:pPr>
    <w:rPr>
      <w:i/>
    </w:rPr>
  </w:style>
  <w:style w:type="paragraph" w:styleId="Heading9">
    <w:name w:val="heading 9"/>
    <w:basedOn w:val="Normal"/>
    <w:next w:val="Normal"/>
    <w:link w:val="Heading9Char"/>
    <w:qFormat/>
    <w:rsid w:val="00D202E0"/>
    <w:pPr>
      <w:ind w:left="720"/>
      <w:outlineLvl w:val="8"/>
    </w:pPr>
    <w:rPr>
      <w:i/>
    </w:rPr>
  </w:style>
  <w:style w:type="character" w:default="1" w:styleId="DefaultParagraphFont">
    <w:name w:val="Default Paragraph Font"/>
    <w:uiPriority w:val="1"/>
    <w:unhideWhenUsed/>
    <w:rsid w:val="00D202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2E0"/>
  </w:style>
  <w:style w:type="character" w:customStyle="1" w:styleId="Heading1Char">
    <w:name w:val="Heading 1 Char"/>
    <w:basedOn w:val="DefaultParagraphFont"/>
    <w:link w:val="Heading1"/>
    <w:rsid w:val="00D202E0"/>
    <w:rPr>
      <w:rFonts w:ascii="Times New Roman" w:eastAsia="Times New Roman" w:hAnsi="Times New Roman" w:cs="Times New Roman"/>
      <w:b/>
      <w:sz w:val="32"/>
      <w:szCs w:val="20"/>
      <w:lang w:eastAsia="en-US"/>
    </w:rPr>
  </w:style>
  <w:style w:type="paragraph" w:styleId="BodyText">
    <w:name w:val="Body Text"/>
    <w:basedOn w:val="Normal"/>
    <w:link w:val="BodyTextChar"/>
    <w:rsid w:val="00D202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2E0"/>
    <w:rPr>
      <w:rFonts w:ascii="Times New Roman" w:eastAsia="Times New Roman" w:hAnsi="Times New Roman" w:cs="Times New Roman"/>
      <w:sz w:val="24"/>
      <w:lang w:eastAsia="en-US"/>
    </w:rPr>
  </w:style>
  <w:style w:type="paragraph" w:styleId="ListBullet">
    <w:name w:val="List Bullet"/>
    <w:basedOn w:val="List"/>
    <w:rsid w:val="00D202E0"/>
    <w:pPr>
      <w:numPr>
        <w:numId w:val="12"/>
      </w:numPr>
      <w:tabs>
        <w:tab w:val="clear" w:pos="340"/>
      </w:tabs>
      <w:spacing w:before="40" w:after="40"/>
    </w:pPr>
  </w:style>
  <w:style w:type="paragraph" w:styleId="ListBullet2">
    <w:name w:val="List Bullet 2"/>
    <w:basedOn w:val="List2"/>
    <w:rsid w:val="00D202E0"/>
    <w:pPr>
      <w:numPr>
        <w:numId w:val="13"/>
      </w:numPr>
      <w:tabs>
        <w:tab w:val="clear" w:pos="680"/>
      </w:tabs>
    </w:pPr>
  </w:style>
  <w:style w:type="paragraph" w:customStyle="1" w:styleId="SuperHeading">
    <w:name w:val="SuperHeading"/>
    <w:basedOn w:val="Normal"/>
    <w:rsid w:val="00D202E0"/>
    <w:pPr>
      <w:spacing w:before="240" w:after="120"/>
      <w:outlineLvl w:val="0"/>
    </w:pPr>
    <w:rPr>
      <w:rFonts w:ascii="Times New Roman" w:hAnsi="Times New Roman"/>
      <w:b/>
      <w:sz w:val="32"/>
    </w:rPr>
  </w:style>
  <w:style w:type="paragraph" w:customStyle="1" w:styleId="AllowPageBreak">
    <w:name w:val="AllowPageBreak"/>
    <w:rsid w:val="00D202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202E0"/>
    <w:rPr>
      <w:b/>
    </w:rPr>
  </w:style>
  <w:style w:type="character" w:customStyle="1" w:styleId="Heading2Char">
    <w:name w:val="Heading 2 Char"/>
    <w:basedOn w:val="DefaultParagraphFont"/>
    <w:link w:val="Heading2"/>
    <w:rsid w:val="00D202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2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2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2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2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2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2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2E0"/>
    <w:rPr>
      <w:rFonts w:ascii="Courier New" w:eastAsia="Times New Roman" w:hAnsi="Courier New" w:cs="Times New Roman"/>
      <w:i/>
      <w:szCs w:val="20"/>
      <w:lang w:eastAsia="en-US"/>
    </w:rPr>
  </w:style>
  <w:style w:type="paragraph" w:customStyle="1" w:styleId="HeadingBase">
    <w:name w:val="Heading Base"/>
    <w:rsid w:val="00D202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2E0"/>
    <w:pPr>
      <w:tabs>
        <w:tab w:val="right" w:leader="dot" w:pos="9072"/>
      </w:tabs>
      <w:ind w:left="567"/>
    </w:pPr>
    <w:rPr>
      <w:szCs w:val="22"/>
    </w:rPr>
  </w:style>
  <w:style w:type="paragraph" w:customStyle="1" w:styleId="TOCBase">
    <w:name w:val="TOC Base"/>
    <w:rsid w:val="00D202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2E0"/>
    <w:pPr>
      <w:tabs>
        <w:tab w:val="right" w:leader="dot" w:pos="9072"/>
      </w:tabs>
      <w:spacing w:before="40" w:after="40"/>
      <w:ind w:left="284"/>
    </w:pPr>
    <w:rPr>
      <w:rFonts w:ascii="Times New Roman" w:hAnsi="Times New Roman"/>
    </w:rPr>
  </w:style>
  <w:style w:type="paragraph" w:styleId="TOC1">
    <w:name w:val="toc 1"/>
    <w:basedOn w:val="TOCBase"/>
    <w:next w:val="Normal"/>
    <w:rsid w:val="00D202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2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2E0"/>
    <w:rPr>
      <w:rFonts w:ascii="Times New Roman" w:eastAsia="Times New Roman" w:hAnsi="Times New Roman" w:cs="Times New Roman"/>
      <w:sz w:val="16"/>
      <w:lang w:eastAsia="en-US"/>
    </w:rPr>
  </w:style>
  <w:style w:type="paragraph" w:styleId="Title">
    <w:name w:val="Title"/>
    <w:basedOn w:val="HeadingBase"/>
    <w:link w:val="TitleChar"/>
    <w:qFormat/>
    <w:rsid w:val="00D202E0"/>
    <w:pPr>
      <w:spacing w:before="5040"/>
      <w:jc w:val="center"/>
    </w:pPr>
    <w:rPr>
      <w:sz w:val="48"/>
      <w:szCs w:val="72"/>
      <w:lang w:val="en-US"/>
    </w:rPr>
  </w:style>
  <w:style w:type="character" w:customStyle="1" w:styleId="TitleChar">
    <w:name w:val="Title Char"/>
    <w:basedOn w:val="DefaultParagraphFont"/>
    <w:link w:val="Title"/>
    <w:rsid w:val="00D202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2E0"/>
    <w:pPr>
      <w:tabs>
        <w:tab w:val="left" w:pos="3600"/>
        <w:tab w:val="left" w:pos="3958"/>
      </w:tabs>
    </w:pPr>
  </w:style>
  <w:style w:type="paragraph" w:styleId="List">
    <w:name w:val="List"/>
    <w:basedOn w:val="BodyText"/>
    <w:next w:val="BodyText"/>
    <w:rsid w:val="00D202E0"/>
    <w:pPr>
      <w:tabs>
        <w:tab w:val="left" w:pos="340"/>
      </w:tabs>
      <w:spacing w:before="60" w:after="60"/>
      <w:ind w:left="340" w:hanging="340"/>
    </w:pPr>
  </w:style>
  <w:style w:type="paragraph" w:customStyle="1" w:styleId="Note">
    <w:name w:val="Note"/>
    <w:basedOn w:val="BodyText"/>
    <w:rsid w:val="00D202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02E0"/>
    <w:rPr>
      <w:b/>
      <w:spacing w:val="0"/>
    </w:rPr>
  </w:style>
  <w:style w:type="paragraph" w:customStyle="1" w:styleId="SuperTitle">
    <w:name w:val="SuperTitle"/>
    <w:basedOn w:val="Title"/>
    <w:rsid w:val="00D202E0"/>
    <w:pPr>
      <w:framePr w:wrap="auto" w:hAnchor="text" w:y="6049"/>
    </w:pPr>
    <w:rPr>
      <w:color w:val="000000"/>
      <w:sz w:val="40"/>
    </w:rPr>
  </w:style>
  <w:style w:type="paragraph" w:customStyle="1" w:styleId="TOCTitle">
    <w:name w:val="TOCTitle"/>
    <w:basedOn w:val="Heading1"/>
    <w:rsid w:val="00D202E0"/>
    <w:pPr>
      <w:spacing w:after="240"/>
      <w:jc w:val="center"/>
      <w:outlineLvl w:val="9"/>
    </w:pPr>
    <w:rPr>
      <w:caps/>
    </w:rPr>
  </w:style>
  <w:style w:type="paragraph" w:customStyle="1" w:styleId="Version">
    <w:name w:val="Version"/>
    <w:rsid w:val="00D202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2E0"/>
    <w:pPr>
      <w:keepNext w:val="0"/>
      <w:tabs>
        <w:tab w:val="right" w:pos="4176"/>
      </w:tabs>
      <w:ind w:left="198" w:hanging="198"/>
    </w:pPr>
    <w:rPr>
      <w:rFonts w:ascii="Garamond" w:hAnsi="Garamond"/>
    </w:rPr>
  </w:style>
  <w:style w:type="paragraph" w:styleId="IndexHeading">
    <w:name w:val="index heading"/>
    <w:basedOn w:val="Normal"/>
    <w:next w:val="Index1"/>
    <w:semiHidden/>
    <w:rsid w:val="00D202E0"/>
    <w:pPr>
      <w:spacing w:before="120" w:after="120"/>
    </w:pPr>
    <w:rPr>
      <w:rFonts w:ascii="Arial" w:hAnsi="Arial"/>
      <w:b/>
      <w:color w:val="918585"/>
      <w:sz w:val="24"/>
    </w:rPr>
  </w:style>
  <w:style w:type="paragraph" w:styleId="Header">
    <w:name w:val="header"/>
    <w:basedOn w:val="Normal"/>
    <w:link w:val="HeaderChar"/>
    <w:rsid w:val="00D202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2E0"/>
    <w:rPr>
      <w:rFonts w:ascii="Times New Roman" w:eastAsia="Times New Roman" w:hAnsi="Times New Roman" w:cs="Times New Roman"/>
      <w:sz w:val="16"/>
      <w:szCs w:val="20"/>
      <w:lang w:val="en-GB" w:eastAsia="en-US"/>
    </w:rPr>
  </w:style>
  <w:style w:type="paragraph" w:customStyle="1" w:styleId="Chapter">
    <w:name w:val="Chapter"/>
    <w:basedOn w:val="Normal"/>
    <w:rsid w:val="00D202E0"/>
    <w:pPr>
      <w:spacing w:before="240"/>
    </w:pPr>
    <w:rPr>
      <w:rFonts w:ascii="Times New Roman" w:hAnsi="Times New Roman"/>
      <w:smallCaps/>
      <w:spacing w:val="80"/>
      <w:sz w:val="28"/>
    </w:rPr>
  </w:style>
  <w:style w:type="paragraph" w:customStyle="1" w:styleId="InChapter">
    <w:name w:val="InChapter"/>
    <w:basedOn w:val="Heading3"/>
    <w:rsid w:val="00D202E0"/>
    <w:pPr>
      <w:spacing w:after="240"/>
      <w:outlineLvl w:val="9"/>
    </w:pPr>
    <w:rPr>
      <w:noProof/>
    </w:rPr>
  </w:style>
  <w:style w:type="paragraph" w:styleId="Index2">
    <w:name w:val="index 2"/>
    <w:basedOn w:val="Normal"/>
    <w:next w:val="Normal"/>
    <w:semiHidden/>
    <w:rsid w:val="00D202E0"/>
    <w:pPr>
      <w:tabs>
        <w:tab w:val="right" w:pos="4176"/>
      </w:tabs>
      <w:ind w:left="568" w:hanging="284"/>
    </w:pPr>
    <w:rPr>
      <w:rFonts w:ascii="Garamond" w:hAnsi="Garamond"/>
    </w:rPr>
  </w:style>
  <w:style w:type="paragraph" w:customStyle="1" w:styleId="Byline">
    <w:name w:val="Byline"/>
    <w:rsid w:val="00D202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2E0"/>
    <w:pPr>
      <w:tabs>
        <w:tab w:val="clear" w:pos="3600"/>
        <w:tab w:val="clear" w:pos="3958"/>
      </w:tabs>
      <w:jc w:val="right"/>
    </w:pPr>
  </w:style>
  <w:style w:type="character" w:styleId="Emphasis">
    <w:name w:val="Emphasis"/>
    <w:basedOn w:val="DefaultParagraphFont"/>
    <w:qFormat/>
    <w:rsid w:val="00D202E0"/>
    <w:rPr>
      <w:i/>
    </w:rPr>
  </w:style>
  <w:style w:type="paragraph" w:styleId="Caption">
    <w:name w:val="caption"/>
    <w:basedOn w:val="BodyText"/>
    <w:next w:val="Normal"/>
    <w:qFormat/>
    <w:rsid w:val="00D202E0"/>
    <w:pPr>
      <w:framePr w:w="2268" w:hSpace="181" w:vSpace="181" w:wrap="around" w:vAnchor="text" w:hAnchor="page" w:x="1135" w:y="285" w:anchorLock="1"/>
    </w:pPr>
    <w:rPr>
      <w:i/>
    </w:rPr>
  </w:style>
  <w:style w:type="paragraph" w:customStyle="1" w:styleId="MiniTOCTitle">
    <w:name w:val="MiniTOCTitle"/>
    <w:basedOn w:val="Heading4"/>
    <w:rsid w:val="00D202E0"/>
    <w:pPr>
      <w:spacing w:before="240"/>
      <w:outlineLvl w:val="9"/>
    </w:pPr>
    <w:rPr>
      <w:noProof/>
      <w:sz w:val="24"/>
    </w:rPr>
  </w:style>
  <w:style w:type="paragraph" w:customStyle="1" w:styleId="MiniTOCItem">
    <w:name w:val="MiniTOCItem"/>
    <w:basedOn w:val="ListBullet"/>
    <w:rsid w:val="00D202E0"/>
    <w:pPr>
      <w:numPr>
        <w:numId w:val="0"/>
      </w:numPr>
      <w:tabs>
        <w:tab w:val="right" w:leader="dot" w:pos="6521"/>
      </w:tabs>
      <w:spacing w:before="0" w:after="0"/>
    </w:pPr>
  </w:style>
  <w:style w:type="paragraph" w:customStyle="1" w:styleId="TOFTitle">
    <w:name w:val="TOFTitle"/>
    <w:basedOn w:val="TOCTitle"/>
    <w:rsid w:val="00D202E0"/>
  </w:style>
  <w:style w:type="paragraph" w:styleId="TableofFigures">
    <w:name w:val="table of figures"/>
    <w:basedOn w:val="Normal"/>
    <w:next w:val="Normal"/>
    <w:semiHidden/>
    <w:rsid w:val="00D202E0"/>
    <w:pPr>
      <w:tabs>
        <w:tab w:val="right" w:leader="dot" w:pos="9072"/>
      </w:tabs>
      <w:ind w:left="970" w:hanging="403"/>
    </w:pPr>
    <w:rPr>
      <w:rFonts w:ascii="Times New Roman" w:hAnsi="Times New Roman"/>
      <w:b/>
    </w:rPr>
  </w:style>
  <w:style w:type="paragraph" w:styleId="ListNumber">
    <w:name w:val="List Number"/>
    <w:basedOn w:val="List"/>
    <w:rsid w:val="00D202E0"/>
    <w:pPr>
      <w:numPr>
        <w:numId w:val="15"/>
      </w:numPr>
      <w:tabs>
        <w:tab w:val="clear" w:pos="340"/>
      </w:tabs>
    </w:pPr>
  </w:style>
  <w:style w:type="character" w:customStyle="1" w:styleId="WingdingSymbols">
    <w:name w:val="Wingding Symbols"/>
    <w:rsid w:val="00D202E0"/>
    <w:rPr>
      <w:rFonts w:ascii="Wingdings" w:hAnsi="Wingdings"/>
    </w:rPr>
  </w:style>
  <w:style w:type="paragraph" w:customStyle="1" w:styleId="TableHeading">
    <w:name w:val="Table Heading"/>
    <w:basedOn w:val="HeadingBase"/>
    <w:rsid w:val="00D202E0"/>
    <w:pPr>
      <w:keepLines/>
      <w:pBdr>
        <w:bottom w:val="single" w:sz="6" w:space="1" w:color="918585"/>
      </w:pBdr>
      <w:spacing w:before="240"/>
    </w:pPr>
  </w:style>
  <w:style w:type="character" w:customStyle="1" w:styleId="HotSpot">
    <w:name w:val="HotSpot"/>
    <w:rsid w:val="00D202E0"/>
    <w:rPr>
      <w:color w:val="0033CC"/>
      <w:u w:val="none"/>
    </w:rPr>
  </w:style>
  <w:style w:type="paragraph" w:customStyle="1" w:styleId="BodyTextRight">
    <w:name w:val="Body Text Right"/>
    <w:basedOn w:val="BodyText"/>
    <w:rsid w:val="00D202E0"/>
    <w:pPr>
      <w:spacing w:before="0" w:after="0"/>
      <w:jc w:val="right"/>
    </w:pPr>
  </w:style>
  <w:style w:type="paragraph" w:styleId="Index3">
    <w:name w:val="index 3"/>
    <w:basedOn w:val="ListNumber2"/>
    <w:next w:val="Normal"/>
    <w:semiHidden/>
    <w:rsid w:val="00D202E0"/>
    <w:pPr>
      <w:numPr>
        <w:numId w:val="0"/>
      </w:numPr>
      <w:tabs>
        <w:tab w:val="right" w:leader="dot" w:pos="4176"/>
      </w:tabs>
    </w:pPr>
  </w:style>
  <w:style w:type="paragraph" w:styleId="ListNumber2">
    <w:name w:val="List Number 2"/>
    <w:basedOn w:val="List2"/>
    <w:rsid w:val="00D202E0"/>
    <w:pPr>
      <w:numPr>
        <w:numId w:val="10"/>
      </w:numPr>
      <w:tabs>
        <w:tab w:val="clear" w:pos="1060"/>
      </w:tabs>
    </w:pPr>
  </w:style>
  <w:style w:type="paragraph" w:customStyle="1" w:styleId="MarginNote">
    <w:name w:val="Margin Note"/>
    <w:basedOn w:val="BodyText"/>
    <w:rsid w:val="00D202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2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2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2E0"/>
    <w:rPr>
      <w:sz w:val="32"/>
    </w:rPr>
  </w:style>
  <w:style w:type="paragraph" w:customStyle="1" w:styleId="HeadingProcedure">
    <w:name w:val="Heading Procedure"/>
    <w:basedOn w:val="HeadingBase"/>
    <w:next w:val="Normal"/>
    <w:rsid w:val="00D202E0"/>
    <w:pPr>
      <w:tabs>
        <w:tab w:val="left" w:pos="0"/>
      </w:tabs>
      <w:spacing w:before="120" w:after="60"/>
    </w:pPr>
    <w:rPr>
      <w:i/>
      <w:color w:val="918585"/>
      <w:sz w:val="22"/>
    </w:rPr>
  </w:style>
  <w:style w:type="paragraph" w:customStyle="1" w:styleId="TableBodyText">
    <w:name w:val="Table Body Text"/>
    <w:basedOn w:val="BodyText"/>
    <w:rsid w:val="00D202E0"/>
    <w:pPr>
      <w:spacing w:before="60" w:after="60"/>
    </w:pPr>
  </w:style>
  <w:style w:type="paragraph" w:styleId="ListContinue">
    <w:name w:val="List Continue"/>
    <w:basedOn w:val="List"/>
    <w:rsid w:val="00D202E0"/>
    <w:pPr>
      <w:ind w:firstLine="0"/>
    </w:pPr>
  </w:style>
  <w:style w:type="paragraph" w:customStyle="1" w:styleId="ListNote">
    <w:name w:val="List Note"/>
    <w:basedOn w:val="List"/>
    <w:rsid w:val="00D202E0"/>
    <w:pPr>
      <w:pBdr>
        <w:top w:val="single" w:sz="6" w:space="2" w:color="918585"/>
        <w:bottom w:val="single" w:sz="6" w:space="2" w:color="918585"/>
      </w:pBdr>
      <w:tabs>
        <w:tab w:val="left" w:pos="1021"/>
      </w:tabs>
      <w:ind w:firstLine="0"/>
    </w:pPr>
  </w:style>
  <w:style w:type="paragraph" w:customStyle="1" w:styleId="Warning">
    <w:name w:val="Warning"/>
    <w:basedOn w:val="BodyText"/>
    <w:rsid w:val="00D202E0"/>
    <w:pPr>
      <w:shd w:val="clear" w:color="auto" w:fill="D9D9D9"/>
      <w:tabs>
        <w:tab w:val="left" w:pos="992"/>
      </w:tabs>
      <w:ind w:left="119" w:right="119"/>
    </w:pPr>
    <w:rPr>
      <w:sz w:val="20"/>
    </w:rPr>
  </w:style>
  <w:style w:type="paragraph" w:customStyle="1" w:styleId="MarginIcons">
    <w:name w:val="Margin Icons"/>
    <w:basedOn w:val="BodyText"/>
    <w:rsid w:val="00D202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2E0"/>
    <w:rPr>
      <w:rFonts w:ascii="Courier New" w:hAnsi="Courier New"/>
    </w:rPr>
  </w:style>
  <w:style w:type="paragraph" w:customStyle="1" w:styleId="NoteBullet">
    <w:name w:val="Note Bullet"/>
    <w:basedOn w:val="Note"/>
    <w:rsid w:val="00D202E0"/>
    <w:pPr>
      <w:tabs>
        <w:tab w:val="clear" w:pos="680"/>
      </w:tabs>
      <w:spacing w:before="60" w:after="60"/>
    </w:pPr>
  </w:style>
  <w:style w:type="paragraph" w:customStyle="1" w:styleId="SubHeading2">
    <w:name w:val="SubHeading2"/>
    <w:basedOn w:val="HeadingBase"/>
    <w:rsid w:val="00D202E0"/>
    <w:pPr>
      <w:spacing w:before="240" w:after="60"/>
    </w:pPr>
    <w:rPr>
      <w:sz w:val="20"/>
    </w:rPr>
  </w:style>
  <w:style w:type="paragraph" w:customStyle="1" w:styleId="SubHeading1">
    <w:name w:val="SubHeading1"/>
    <w:basedOn w:val="HeadingBase"/>
    <w:rsid w:val="00D202E0"/>
    <w:pPr>
      <w:spacing w:before="240" w:after="60"/>
    </w:pPr>
    <w:rPr>
      <w:color w:val="918585"/>
      <w:sz w:val="22"/>
    </w:rPr>
  </w:style>
  <w:style w:type="paragraph" w:customStyle="1" w:styleId="SideHeading">
    <w:name w:val="Side Heading"/>
    <w:basedOn w:val="HeadingBase"/>
    <w:rsid w:val="00D202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2E0"/>
    <w:pPr>
      <w:tabs>
        <w:tab w:val="num" w:pos="360"/>
      </w:tabs>
    </w:pPr>
  </w:style>
  <w:style w:type="paragraph" w:styleId="PlainText">
    <w:name w:val="Plain Text"/>
    <w:basedOn w:val="Normal"/>
    <w:link w:val="PlainTextChar"/>
    <w:rsid w:val="00D202E0"/>
    <w:rPr>
      <w:sz w:val="20"/>
    </w:rPr>
  </w:style>
  <w:style w:type="character" w:customStyle="1" w:styleId="PlainTextChar">
    <w:name w:val="Plain Text Char"/>
    <w:basedOn w:val="DefaultParagraphFont"/>
    <w:link w:val="PlainText"/>
    <w:rsid w:val="00D202E0"/>
    <w:rPr>
      <w:rFonts w:ascii="Courier New" w:eastAsia="Times New Roman" w:hAnsi="Courier New" w:cs="Times New Roman"/>
      <w:sz w:val="20"/>
      <w:szCs w:val="20"/>
      <w:lang w:eastAsia="en-US"/>
    </w:rPr>
  </w:style>
  <w:style w:type="character" w:customStyle="1" w:styleId="MenuOption">
    <w:name w:val="Menu Option"/>
    <w:basedOn w:val="DefaultParagraphFont"/>
    <w:rsid w:val="00D202E0"/>
    <w:rPr>
      <w:b/>
      <w:smallCaps/>
    </w:rPr>
  </w:style>
  <w:style w:type="paragraph" w:customStyle="1" w:styleId="TableListNumber">
    <w:name w:val="Table List Number"/>
    <w:basedOn w:val="ListNumber"/>
    <w:rsid w:val="00D202E0"/>
    <w:pPr>
      <w:numPr>
        <w:numId w:val="0"/>
      </w:numPr>
    </w:pPr>
  </w:style>
  <w:style w:type="paragraph" w:styleId="TOC4">
    <w:name w:val="toc 4"/>
    <w:basedOn w:val="TOCBase"/>
    <w:next w:val="Normal"/>
    <w:semiHidden/>
    <w:rsid w:val="00D202E0"/>
    <w:pPr>
      <w:tabs>
        <w:tab w:val="right" w:leader="dot" w:pos="9071"/>
      </w:tabs>
      <w:ind w:left="1701"/>
    </w:pPr>
  </w:style>
  <w:style w:type="paragraph" w:customStyle="1" w:styleId="ListAlpha">
    <w:name w:val="List Alpha"/>
    <w:basedOn w:val="List"/>
    <w:rsid w:val="00D202E0"/>
    <w:pPr>
      <w:numPr>
        <w:numId w:val="9"/>
      </w:numPr>
    </w:pPr>
  </w:style>
  <w:style w:type="paragraph" w:customStyle="1" w:styleId="ListAlpha2">
    <w:name w:val="List Alpha 2"/>
    <w:basedOn w:val="List2"/>
    <w:rsid w:val="00D202E0"/>
    <w:pPr>
      <w:numPr>
        <w:numId w:val="8"/>
      </w:numPr>
    </w:pPr>
  </w:style>
  <w:style w:type="paragraph" w:styleId="List2">
    <w:name w:val="List 2"/>
    <w:basedOn w:val="BodyText"/>
    <w:rsid w:val="00D202E0"/>
    <w:pPr>
      <w:tabs>
        <w:tab w:val="left" w:pos="680"/>
      </w:tabs>
      <w:spacing w:before="60" w:after="60"/>
      <w:ind w:left="680" w:hanging="340"/>
    </w:pPr>
  </w:style>
  <w:style w:type="paragraph" w:styleId="List3">
    <w:name w:val="List 3"/>
    <w:basedOn w:val="BodyText"/>
    <w:rsid w:val="00D202E0"/>
    <w:pPr>
      <w:tabs>
        <w:tab w:val="left" w:pos="1021"/>
      </w:tabs>
      <w:spacing w:before="60" w:after="60"/>
      <w:ind w:left="1020" w:hanging="340"/>
    </w:pPr>
  </w:style>
  <w:style w:type="paragraph" w:styleId="List4">
    <w:name w:val="List 4"/>
    <w:basedOn w:val="BodyText"/>
    <w:rsid w:val="00D202E0"/>
    <w:pPr>
      <w:tabs>
        <w:tab w:val="left" w:pos="1361"/>
      </w:tabs>
      <w:spacing w:before="60" w:after="60"/>
      <w:ind w:left="1361" w:hanging="340"/>
    </w:pPr>
  </w:style>
  <w:style w:type="paragraph" w:styleId="List5">
    <w:name w:val="List 5"/>
    <w:basedOn w:val="BodyText"/>
    <w:rsid w:val="00D202E0"/>
    <w:pPr>
      <w:tabs>
        <w:tab w:val="left" w:pos="1701"/>
      </w:tabs>
      <w:spacing w:before="60" w:after="60"/>
      <w:ind w:left="1701" w:hanging="340"/>
    </w:pPr>
  </w:style>
  <w:style w:type="paragraph" w:styleId="ListBullet3">
    <w:name w:val="List Bullet 3"/>
    <w:basedOn w:val="List3"/>
    <w:rsid w:val="00D202E0"/>
    <w:pPr>
      <w:numPr>
        <w:numId w:val="14"/>
      </w:numPr>
      <w:tabs>
        <w:tab w:val="clear" w:pos="1021"/>
      </w:tabs>
      <w:ind w:left="1037" w:hanging="357"/>
    </w:pPr>
  </w:style>
  <w:style w:type="paragraph" w:styleId="ListBullet4">
    <w:name w:val="List Bullet 4"/>
    <w:basedOn w:val="List4"/>
    <w:rsid w:val="00D202E0"/>
    <w:pPr>
      <w:numPr>
        <w:numId w:val="3"/>
      </w:numPr>
      <w:tabs>
        <w:tab w:val="clear" w:pos="1361"/>
      </w:tabs>
    </w:pPr>
  </w:style>
  <w:style w:type="paragraph" w:styleId="ListBullet5">
    <w:name w:val="List Bullet 5"/>
    <w:basedOn w:val="List5"/>
    <w:rsid w:val="00D202E0"/>
    <w:pPr>
      <w:numPr>
        <w:numId w:val="4"/>
      </w:numPr>
    </w:pPr>
  </w:style>
  <w:style w:type="paragraph" w:styleId="ListContinue2">
    <w:name w:val="List Continue 2"/>
    <w:basedOn w:val="List2"/>
    <w:rsid w:val="00D202E0"/>
    <w:pPr>
      <w:ind w:firstLine="0"/>
    </w:pPr>
  </w:style>
  <w:style w:type="paragraph" w:styleId="ListContinue3">
    <w:name w:val="List Continue 3"/>
    <w:basedOn w:val="List3"/>
    <w:rsid w:val="00D202E0"/>
    <w:pPr>
      <w:ind w:left="1021" w:firstLine="0"/>
    </w:pPr>
  </w:style>
  <w:style w:type="paragraph" w:styleId="ListContinue4">
    <w:name w:val="List Continue 4"/>
    <w:basedOn w:val="List4"/>
    <w:rsid w:val="00D202E0"/>
    <w:pPr>
      <w:ind w:firstLine="0"/>
    </w:pPr>
  </w:style>
  <w:style w:type="paragraph" w:styleId="ListContinue5">
    <w:name w:val="List Continue 5"/>
    <w:basedOn w:val="List5"/>
    <w:rsid w:val="00D202E0"/>
    <w:pPr>
      <w:ind w:firstLine="0"/>
    </w:pPr>
  </w:style>
  <w:style w:type="paragraph" w:styleId="ListNumber3">
    <w:name w:val="List Number 3"/>
    <w:basedOn w:val="List3"/>
    <w:rsid w:val="00D202E0"/>
    <w:pPr>
      <w:numPr>
        <w:numId w:val="5"/>
      </w:numPr>
    </w:pPr>
  </w:style>
  <w:style w:type="paragraph" w:styleId="ListNumber4">
    <w:name w:val="List Number 4"/>
    <w:basedOn w:val="List4"/>
    <w:rsid w:val="00D202E0"/>
    <w:pPr>
      <w:numPr>
        <w:numId w:val="6"/>
      </w:numPr>
    </w:pPr>
  </w:style>
  <w:style w:type="paragraph" w:styleId="ListNumber5">
    <w:name w:val="List Number 5"/>
    <w:basedOn w:val="List5"/>
    <w:rsid w:val="00D202E0"/>
    <w:pPr>
      <w:numPr>
        <w:numId w:val="7"/>
      </w:numPr>
    </w:pPr>
  </w:style>
  <w:style w:type="paragraph" w:styleId="BlockText">
    <w:name w:val="Block Text"/>
    <w:basedOn w:val="Normal"/>
    <w:rsid w:val="00D202E0"/>
    <w:pPr>
      <w:spacing w:after="120"/>
      <w:ind w:left="1440" w:right="1440"/>
    </w:pPr>
  </w:style>
  <w:style w:type="character" w:customStyle="1" w:styleId="Subscript">
    <w:name w:val="Subscript"/>
    <w:basedOn w:val="DefaultParagraphFont"/>
    <w:rsid w:val="00D202E0"/>
    <w:rPr>
      <w:sz w:val="16"/>
      <w:vertAlign w:val="subscript"/>
    </w:rPr>
  </w:style>
  <w:style w:type="character" w:customStyle="1" w:styleId="Superscript">
    <w:name w:val="Superscript"/>
    <w:basedOn w:val="DefaultParagraphFont"/>
    <w:rsid w:val="00D202E0"/>
    <w:rPr>
      <w:sz w:val="16"/>
      <w:vertAlign w:val="superscript"/>
    </w:rPr>
  </w:style>
  <w:style w:type="character" w:customStyle="1" w:styleId="Symbols">
    <w:name w:val="Symbols"/>
    <w:basedOn w:val="DefaultParagraphFont"/>
    <w:rsid w:val="00D202E0"/>
    <w:rPr>
      <w:rFonts w:ascii="Symbol" w:hAnsi="Symbol"/>
    </w:rPr>
  </w:style>
  <w:style w:type="character" w:customStyle="1" w:styleId="MenuOptions">
    <w:name w:val="Menu Options"/>
    <w:basedOn w:val="DefaultParagraphFont"/>
    <w:rsid w:val="00D202E0"/>
    <w:rPr>
      <w:rFonts w:ascii="Arial Narrow" w:hAnsi="Arial Narrow"/>
      <w:smallCaps/>
    </w:rPr>
  </w:style>
  <w:style w:type="character" w:customStyle="1" w:styleId="Buttons">
    <w:name w:val="Buttons"/>
    <w:basedOn w:val="DefaultParagraphFont"/>
    <w:rsid w:val="00D202E0"/>
    <w:rPr>
      <w:b/>
    </w:rPr>
  </w:style>
  <w:style w:type="character" w:customStyle="1" w:styleId="Underlined">
    <w:name w:val="Underlined"/>
    <w:basedOn w:val="DefaultParagraphFont"/>
    <w:rsid w:val="00D202E0"/>
    <w:rPr>
      <w:u w:val="single"/>
    </w:rPr>
  </w:style>
  <w:style w:type="paragraph" w:customStyle="1" w:styleId="TableBodyTextRight">
    <w:name w:val="Table Body Text Right"/>
    <w:basedOn w:val="TableBodyText"/>
    <w:rsid w:val="00D202E0"/>
    <w:pPr>
      <w:widowControl w:val="0"/>
      <w:autoSpaceDE w:val="0"/>
      <w:autoSpaceDN w:val="0"/>
      <w:adjustRightInd w:val="0"/>
      <w:jc w:val="right"/>
    </w:pPr>
    <w:rPr>
      <w:rFonts w:cs="Arial"/>
      <w:szCs w:val="18"/>
    </w:rPr>
  </w:style>
  <w:style w:type="paragraph" w:customStyle="1" w:styleId="CopyrightText">
    <w:name w:val="Copyright Text"/>
    <w:basedOn w:val="BodyText"/>
    <w:rsid w:val="00D202E0"/>
    <w:rPr>
      <w:sz w:val="18"/>
    </w:rPr>
  </w:style>
  <w:style w:type="paragraph" w:customStyle="1" w:styleId="BodySmallRight">
    <w:name w:val="Body Small Right"/>
    <w:basedOn w:val="BodyTextRight"/>
    <w:rsid w:val="00D202E0"/>
    <w:rPr>
      <w:sz w:val="18"/>
      <w:szCs w:val="18"/>
    </w:rPr>
  </w:style>
  <w:style w:type="paragraph" w:customStyle="1" w:styleId="MarginEdition">
    <w:name w:val="Margin Edition"/>
    <w:basedOn w:val="MarginNote"/>
    <w:rsid w:val="00D202E0"/>
    <w:pPr>
      <w:spacing w:before="0" w:after="0"/>
    </w:pPr>
    <w:rPr>
      <w:rFonts w:ascii="Times New Roman" w:hAnsi="Times New Roman"/>
      <w:color w:val="999999"/>
    </w:rPr>
  </w:style>
  <w:style w:type="paragraph" w:customStyle="1" w:styleId="Spacer">
    <w:name w:val="Spacer"/>
    <w:basedOn w:val="Normal"/>
    <w:rsid w:val="00D202E0"/>
    <w:rPr>
      <w:sz w:val="2"/>
      <w:szCs w:val="2"/>
    </w:rPr>
  </w:style>
  <w:style w:type="character" w:customStyle="1" w:styleId="Small">
    <w:name w:val="Small"/>
    <w:basedOn w:val="DefaultParagraphFont"/>
    <w:rsid w:val="00D202E0"/>
    <w:rPr>
      <w:sz w:val="16"/>
    </w:rPr>
  </w:style>
  <w:style w:type="paragraph" w:customStyle="1" w:styleId="WideTable">
    <w:name w:val="Wide Table"/>
    <w:basedOn w:val="Normal"/>
    <w:rsid w:val="00D202E0"/>
    <w:pPr>
      <w:ind w:left="-1418"/>
    </w:pPr>
    <w:rPr>
      <w:sz w:val="2"/>
      <w:szCs w:val="2"/>
    </w:rPr>
  </w:style>
  <w:style w:type="character" w:styleId="PageNumber">
    <w:name w:val="page number"/>
    <w:basedOn w:val="DefaultParagraphFont"/>
    <w:rsid w:val="00D202E0"/>
  </w:style>
  <w:style w:type="paragraph" w:styleId="Quote">
    <w:name w:val="Quote"/>
    <w:basedOn w:val="Heading1"/>
    <w:link w:val="QuoteChar"/>
    <w:qFormat/>
    <w:rsid w:val="00D202E0"/>
    <w:rPr>
      <w:b w:val="0"/>
      <w:sz w:val="72"/>
      <w:szCs w:val="72"/>
      <w:lang w:val="en-NZ"/>
    </w:rPr>
  </w:style>
  <w:style w:type="character" w:customStyle="1" w:styleId="QuoteChar">
    <w:name w:val="Quote Char"/>
    <w:basedOn w:val="DefaultParagraphFont"/>
    <w:link w:val="Quote"/>
    <w:rsid w:val="00D202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2E0"/>
    <w:pPr>
      <w:pageBreakBefore/>
    </w:pPr>
  </w:style>
  <w:style w:type="paragraph" w:customStyle="1" w:styleId="Border">
    <w:name w:val="Border"/>
    <w:basedOn w:val="Normal"/>
    <w:qFormat/>
    <w:rsid w:val="00D202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2E0"/>
    <w:rPr>
      <w:b/>
      <w:bCs/>
      <w:i/>
      <w:iCs/>
      <w:color w:val="auto"/>
    </w:rPr>
  </w:style>
  <w:style w:type="paragraph" w:styleId="IntenseQuote">
    <w:name w:val="Intense Quote"/>
    <w:basedOn w:val="Normal"/>
    <w:next w:val="Normal"/>
    <w:link w:val="IntenseQuoteChar"/>
    <w:uiPriority w:val="30"/>
    <w:qFormat/>
    <w:rsid w:val="00D202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2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2E0"/>
    <w:rPr>
      <w:smallCaps/>
      <w:color w:val="auto"/>
      <w:u w:val="single"/>
    </w:rPr>
  </w:style>
  <w:style w:type="character" w:styleId="IntenseReference">
    <w:name w:val="Intense Reference"/>
    <w:basedOn w:val="DefaultParagraphFont"/>
    <w:uiPriority w:val="32"/>
    <w:qFormat/>
    <w:rsid w:val="00D202E0"/>
    <w:rPr>
      <w:b/>
      <w:bCs/>
      <w:smallCaps/>
      <w:color w:val="auto"/>
      <w:spacing w:val="5"/>
      <w:u w:val="single"/>
    </w:rPr>
  </w:style>
  <w:style w:type="paragraph" w:customStyle="1" w:styleId="2ColumnHeading">
    <w:name w:val="2Column Heading"/>
    <w:basedOn w:val="BodyText"/>
    <w:qFormat/>
    <w:rsid w:val="00D202E0"/>
    <w:pPr>
      <w:spacing w:after="60"/>
      <w:ind w:left="-2268"/>
    </w:pPr>
    <w:rPr>
      <w:b/>
    </w:rPr>
  </w:style>
  <w:style w:type="paragraph" w:customStyle="1" w:styleId="Heading1TOC">
    <w:name w:val="Heading1 TOC"/>
    <w:basedOn w:val="Normal"/>
    <w:qFormat/>
    <w:rsid w:val="00D202E0"/>
    <w:pPr>
      <w:spacing w:before="240" w:after="120"/>
    </w:pPr>
    <w:rPr>
      <w:rFonts w:ascii="Times New Roman" w:hAnsi="Times New Roman"/>
      <w:b/>
      <w:sz w:val="32"/>
    </w:rPr>
  </w:style>
  <w:style w:type="paragraph" w:customStyle="1" w:styleId="Heading2TOC">
    <w:name w:val="Heading2 TOC"/>
    <w:basedOn w:val="Normal"/>
    <w:qFormat/>
    <w:rsid w:val="00D202E0"/>
    <w:pPr>
      <w:spacing w:before="240" w:after="60"/>
    </w:pPr>
    <w:rPr>
      <w:rFonts w:ascii="Times New Roman" w:hAnsi="Times New Roman"/>
      <w:b/>
      <w:sz w:val="28"/>
    </w:rPr>
  </w:style>
  <w:style w:type="character" w:customStyle="1" w:styleId="Underline">
    <w:name w:val="Underline"/>
    <w:basedOn w:val="DefaultParagraphFont"/>
    <w:qFormat/>
    <w:rsid w:val="00D202E0"/>
    <w:rPr>
      <w:u w:val="single"/>
    </w:rPr>
  </w:style>
  <w:style w:type="character" w:customStyle="1" w:styleId="BoldandItalics">
    <w:name w:val="Bold and Italics"/>
    <w:qFormat/>
    <w:rsid w:val="00D202E0"/>
    <w:rPr>
      <w:b/>
      <w:i/>
      <w:u w:val="none"/>
    </w:rPr>
  </w:style>
  <w:style w:type="paragraph" w:styleId="BalloonText">
    <w:name w:val="Balloon Text"/>
    <w:basedOn w:val="Normal"/>
    <w:link w:val="BalloonTextChar"/>
    <w:rsid w:val="00D202E0"/>
    <w:rPr>
      <w:rFonts w:ascii="Tahoma" w:hAnsi="Tahoma" w:cs="Tahoma"/>
      <w:sz w:val="16"/>
      <w:szCs w:val="16"/>
    </w:rPr>
  </w:style>
  <w:style w:type="character" w:customStyle="1" w:styleId="BalloonTextChar">
    <w:name w:val="Balloon Text Char"/>
    <w:basedOn w:val="DefaultParagraphFont"/>
    <w:link w:val="BalloonText"/>
    <w:rsid w:val="00D202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2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2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2E0"/>
    <w:rPr>
      <w:b/>
      <w:color w:val="660033"/>
      <w:spacing w:val="0"/>
    </w:rPr>
  </w:style>
  <w:style w:type="paragraph" w:customStyle="1" w:styleId="Nameditemlist">
    <w:name w:val="Named item list"/>
    <w:basedOn w:val="BodyText"/>
    <w:qFormat/>
    <w:rsid w:val="00D202E0"/>
    <w:pPr>
      <w:tabs>
        <w:tab w:val="left" w:pos="2835"/>
      </w:tabs>
      <w:ind w:left="2835" w:hanging="2835"/>
    </w:pPr>
  </w:style>
  <w:style w:type="paragraph" w:customStyle="1" w:styleId="BodyTextnopadding">
    <w:name w:val="Body Text no padding"/>
    <w:basedOn w:val="BodyText"/>
    <w:qFormat/>
    <w:rsid w:val="00D202E0"/>
    <w:pPr>
      <w:spacing w:before="0" w:after="0"/>
    </w:pPr>
  </w:style>
  <w:style w:type="character" w:styleId="Hyperlink">
    <w:name w:val="Hyperlink"/>
    <w:basedOn w:val="DefaultParagraphFont"/>
    <w:uiPriority w:val="99"/>
    <w:unhideWhenUsed/>
    <w:rsid w:val="001A51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4600</Characters>
  <Application>Microsoft Office Word</Application>
  <DocSecurity>0</DocSecurity>
  <Lines>104</Lines>
  <Paragraphs>78</Paragraphs>
  <ScaleCrop>false</ScaleCrop>
  <Company>Author-it Software Corporation Ltd.</Company>
  <LinksUpToDate>false</LinksUpToDate>
  <CharactersWithSpaces>5209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FBPBPG2011 Operate a fill and seal process</dc:title>
  <dc:subject>Approved</dc:subject>
  <dc:creator>Skills Impact</dc:creator>
  <cp:keywords>Release: 1</cp:keywords>
  <dc:description>Review Date: 12 April 2008</dc:description>
  <cp:lastModifiedBy>HSD_TPCMSd.prod</cp:lastModifiedBy>
  <cp:revision>3</cp:revision>
  <dcterms:created xsi:type="dcterms:W3CDTF">2023-01-25T15:07:00Z</dcterms:created>
  <dcterms:modified xsi:type="dcterms:W3CDTF">2023-01-25T15:07:00Z</dcterms:modified>
</cp:coreProperties>
</file>