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10D8" w:rsidP="001D10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FBPAUD5004 Audit manufacturing of ready-to-eat meat products</w:t>
      </w:r>
      <w:r>
        <w:fldChar w:fldCharType="end"/>
      </w:r>
    </w:p>
    <w:p w:rsidR="001D10D8" w:rsidP="001D10D8">
      <w:pPr>
        <w:pStyle w:val="Version"/>
        <w:sectPr w:rsidSect="00EF5E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5E93" w:rsidP="00EF5E93">
      <w:pPr>
        <w:pStyle w:val="SuperHeading"/>
      </w:pPr>
      <w:r w:rsidRPr="00EF5E93">
        <w:t>Assessment Requirements for FBPAUD5004 Audit manufacturing of ready-to-eat meat products</w:t>
      </w:r>
    </w:p>
    <w:p w:rsidR="00000000" w:rsidRPr="00EF5E93" w:rsidP="00EF5E93">
      <w:pPr>
        <w:pStyle w:val="Heading1"/>
      </w:pPr>
      <w:bookmarkStart w:id="1" w:name="O_993148"/>
      <w:bookmarkEnd w:id="1"/>
      <w:r w:rsidRPr="00EF5E9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EF5E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E93" w:rsidP="00EF5E93">
            <w:pPr>
              <w:pStyle w:val="BodyText"/>
            </w:pPr>
            <w:r w:rsidRPr="00EF5E93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E93">
            <w:pPr>
              <w:pStyle w:val="BodyText"/>
              <w:rPr>
                <w:lang w:val="en-NZ"/>
              </w:rPr>
            </w:pPr>
            <w:r w:rsidRPr="00EF5E93">
              <w:rPr>
                <w:rStyle w:val="SpecialBold"/>
              </w:rPr>
              <w:t>Comments</w:t>
            </w:r>
          </w:p>
        </w:tc>
      </w:tr>
      <w:tr w:rsidTr="00EF5E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5E93">
            <w:pPr>
              <w:pStyle w:val="BodyText"/>
              <w:rPr>
                <w:lang w:val="en-NZ"/>
              </w:rPr>
            </w:pPr>
            <w:r w:rsidRPr="00EF5E93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5E93" w:rsidP="00EF5E93">
            <w:pPr>
              <w:pStyle w:val="BodyText"/>
            </w:pPr>
            <w:r w:rsidRPr="00EF5E93">
              <w:t>This version released with the FBP Food, Beverage and Pharmaceutical Training Package Version 2.0.</w:t>
            </w:r>
          </w:p>
        </w:tc>
      </w:tr>
    </w:tbl>
    <w:p w:rsidR="00000000" w:rsidRPr="00EF5E93" w:rsidP="00EF5E93">
      <w:pPr>
        <w:pStyle w:val="BodyText"/>
      </w:pPr>
    </w:p>
    <w:p w:rsidR="00000000" w:rsidRPr="00EF5E93" w:rsidP="00EF5E93">
      <w:pPr>
        <w:pStyle w:val="AllowPageBreak"/>
      </w:pPr>
    </w:p>
    <w:p w:rsidR="00000000" w:rsidRPr="00EF5E93" w:rsidP="00EF5E93">
      <w:pPr>
        <w:pStyle w:val="Heading1"/>
      </w:pPr>
      <w:bookmarkStart w:id="2" w:name="O_993149"/>
      <w:bookmarkEnd w:id="2"/>
      <w:r w:rsidRPr="00EF5E93">
        <w:t>Performance Evidence</w:t>
      </w:r>
    </w:p>
    <w:p w:rsidR="00000000" w:rsidRPr="00EF5E93" w:rsidP="001D10D8">
      <w:pPr>
        <w:pStyle w:val="BodyText"/>
      </w:pPr>
      <w:r w:rsidRPr="00EF5E93">
        <w:t xml:space="preserve">An individual demonstrating competency in this unit must satisfy all of the elements and performance criteria of this unit. </w:t>
      </w:r>
    </w:p>
    <w:p w:rsidR="00000000" w:rsidRPr="00EF5E93" w:rsidP="001D10D8">
      <w:pPr>
        <w:pStyle w:val="BodyText"/>
      </w:pPr>
      <w:r w:rsidRPr="00EF5E93">
        <w:t>There must be evidence that the individual has actively participated in a minimum of two foo</w:t>
      </w:r>
      <w:r w:rsidRPr="00EF5E93">
        <w:t>d safety audits of commercial manufacturing processes that produce different ready-to-eat meat products, including:</w:t>
      </w:r>
    </w:p>
    <w:p w:rsidR="00000000" w:rsidRPr="00EF5E93" w:rsidP="00EF5E93">
      <w:pPr>
        <w:pStyle w:val="ListBullet"/>
      </w:pPr>
      <w:r w:rsidRPr="00EF5E93">
        <w:t>documenting evidence that details the review of the processor</w:t>
      </w:r>
      <w:r>
        <w:t>’</w:t>
      </w:r>
      <w:r w:rsidRPr="00EF5E93">
        <w:t>s hazard analysis critical control point (HACCP) plan to determine if the cri</w:t>
      </w:r>
      <w:r w:rsidRPr="00EF5E93">
        <w:t>tical control points (CCPs) are correctly identified, valid, adequately monitored and verified</w:t>
      </w:r>
    </w:p>
    <w:p w:rsidR="00000000" w:rsidRPr="00EF5E93" w:rsidP="00EF5E93">
      <w:pPr>
        <w:pStyle w:val="ListBullet"/>
      </w:pPr>
      <w:r w:rsidRPr="00EF5E93">
        <w:t>identifying product-specific risks and typical processing methods, including sources of information on processing parameters, for one product in each of the foll</w:t>
      </w:r>
      <w:r w:rsidRPr="00EF5E93">
        <w:t>owing categories:</w:t>
      </w:r>
    </w:p>
    <w:p w:rsidR="00000000" w:rsidRPr="00EF5E93" w:rsidP="00EF5E93">
      <w:pPr>
        <w:pStyle w:val="ListBullet2"/>
      </w:pPr>
      <w:r w:rsidRPr="00EF5E93">
        <w:t>uncooked fermented meat products</w:t>
      </w:r>
    </w:p>
    <w:p w:rsidR="00000000" w:rsidRPr="00EF5E93" w:rsidP="00EF5E93">
      <w:pPr>
        <w:pStyle w:val="ListBullet2"/>
      </w:pPr>
      <w:r w:rsidRPr="00EF5E93">
        <w:t>smoked or cooked meat products</w:t>
      </w:r>
    </w:p>
    <w:p w:rsidR="00000000" w:rsidRPr="00EF5E93" w:rsidP="00EF5E93">
      <w:pPr>
        <w:pStyle w:val="ListBullet2"/>
      </w:pPr>
      <w:r w:rsidRPr="00EF5E93">
        <w:t>slowly cured meat, such as prosciutto</w:t>
      </w:r>
    </w:p>
    <w:p w:rsidR="00000000" w:rsidRPr="00EF5E93" w:rsidP="00EF5E93">
      <w:pPr>
        <w:pStyle w:val="ListBullet2"/>
      </w:pPr>
      <w:r w:rsidRPr="00EF5E93">
        <w:t>pâté</w:t>
      </w:r>
    </w:p>
    <w:p w:rsidR="00000000" w:rsidRPr="00EF5E93" w:rsidP="00EF5E93">
      <w:pPr>
        <w:pStyle w:val="ListBullet"/>
      </w:pPr>
      <w:r w:rsidRPr="00EF5E93">
        <w:t xml:space="preserve">identifying storage and transport of safe ready-to-eat meat products for at least one product </w:t>
      </w:r>
      <w:r w:rsidRPr="00EF5E93">
        <w:t>in each of the following product categories:</w:t>
      </w:r>
    </w:p>
    <w:p w:rsidR="00000000" w:rsidRPr="00EF5E93" w:rsidP="00EF5E93">
      <w:pPr>
        <w:pStyle w:val="ListBullet2"/>
      </w:pPr>
      <w:r w:rsidRPr="00EF5E93">
        <w:t>uncooked fermented meat products</w:t>
      </w:r>
    </w:p>
    <w:p w:rsidR="00000000" w:rsidRPr="00EF5E93" w:rsidP="00EF5E93">
      <w:pPr>
        <w:pStyle w:val="ListBullet2"/>
      </w:pPr>
      <w:r w:rsidRPr="00EF5E93">
        <w:t>smoked or cooked meat products</w:t>
      </w:r>
    </w:p>
    <w:p w:rsidR="00000000" w:rsidRPr="00EF5E93" w:rsidP="00EF5E93">
      <w:pPr>
        <w:pStyle w:val="ListBullet2"/>
      </w:pPr>
      <w:r w:rsidRPr="00EF5E93">
        <w:t>slowly cured meat, such as prosciutto</w:t>
      </w:r>
    </w:p>
    <w:p w:rsidR="00000000" w:rsidRPr="00EF5E93" w:rsidP="00EF5E93">
      <w:pPr>
        <w:pStyle w:val="ListBullet2"/>
      </w:pPr>
      <w:r w:rsidRPr="00EF5E93">
        <w:t>pâté.</w:t>
      </w:r>
    </w:p>
    <w:p w:rsidR="00000000" w:rsidRPr="00EF5E93" w:rsidP="00EF5E93">
      <w:pPr>
        <w:pStyle w:val="AllowPageBreak"/>
      </w:pPr>
    </w:p>
    <w:p w:rsidR="00000000" w:rsidRPr="00EF5E93" w:rsidP="00EF5E93">
      <w:pPr>
        <w:pStyle w:val="Heading1"/>
      </w:pPr>
      <w:bookmarkStart w:id="3" w:name="O_993150"/>
      <w:bookmarkEnd w:id="3"/>
      <w:r w:rsidRPr="00EF5E93">
        <w:t>Knowledge Evidence</w:t>
      </w:r>
    </w:p>
    <w:p w:rsidR="00000000" w:rsidRPr="00EF5E93" w:rsidP="001D10D8">
      <w:pPr>
        <w:pStyle w:val="BodyText"/>
      </w:pPr>
      <w:r w:rsidRPr="00EF5E93">
        <w:t>An individual must be able to demonstrate the knowledge required t</w:t>
      </w:r>
      <w:r w:rsidRPr="00EF5E93">
        <w:t>o perform the tasks outlined in the elements and performance criteria of this unit. This includes knowledge of:</w:t>
      </w:r>
    </w:p>
    <w:p w:rsidR="00000000" w:rsidRPr="00EF5E93" w:rsidP="00EF5E93">
      <w:pPr>
        <w:pStyle w:val="ListBullet"/>
      </w:pPr>
      <w:r w:rsidRPr="00EF5E93">
        <w:t>regulations, codes of practice, guidelines, technical specifications and Australian Standards relating to the formulation and manufacture of re</w:t>
      </w:r>
      <w:r w:rsidRPr="00EF5E93">
        <w:t>ady-to-eat meat products</w:t>
      </w:r>
    </w:p>
    <w:p w:rsidR="00000000" w:rsidRPr="00EF5E93" w:rsidP="00EF5E93">
      <w:pPr>
        <w:pStyle w:val="ListBullet"/>
      </w:pPr>
      <w:r w:rsidRPr="00EF5E93">
        <w:t>relevant sections of the Australia New Zealand Food Standards Code</w:t>
      </w:r>
    </w:p>
    <w:p w:rsidR="00000000" w:rsidRPr="00EF5E93" w:rsidP="00EF5E93">
      <w:pPr>
        <w:pStyle w:val="ListBullet"/>
      </w:pPr>
      <w:r w:rsidRPr="00EF5E93">
        <w:t>sources of information on acceptable processing and related storage and handling methods and parameters for given products and target microorganisms</w:t>
      </w:r>
    </w:p>
    <w:p w:rsidR="00000000" w:rsidRPr="00EF5E93" w:rsidP="00EF5E93">
      <w:pPr>
        <w:pStyle w:val="ListBullet"/>
      </w:pPr>
      <w:r w:rsidRPr="00EF5E93">
        <w:t>pathogens that can occur in meat products, and related control methods required in manufacturing, post-processing and storage, including:</w:t>
      </w:r>
    </w:p>
    <w:p w:rsidR="00000000" w:rsidRPr="00EF5E93" w:rsidP="00EF5E93">
      <w:pPr>
        <w:pStyle w:val="ListBullet2"/>
      </w:pPr>
      <w:r w:rsidRPr="00EF5E93">
        <w:t>Campylobacter jejuni (poultry)</w:t>
      </w:r>
    </w:p>
    <w:p w:rsidR="00000000" w:rsidRPr="00EF5E93" w:rsidP="00EF5E93">
      <w:pPr>
        <w:pStyle w:val="ListBullet2"/>
      </w:pPr>
      <w:r w:rsidRPr="00EF5E93">
        <w:t>pathogenic Escherichia coli, including enterohaemorrhagic Escherichia coli</w:t>
      </w:r>
    </w:p>
    <w:p w:rsidR="00000000" w:rsidRPr="00EF5E93" w:rsidP="00EF5E93">
      <w:pPr>
        <w:pStyle w:val="ListBullet2"/>
      </w:pPr>
      <w:r w:rsidRPr="00EF5E93">
        <w:t>Clostridium</w:t>
      </w:r>
      <w:r w:rsidRPr="00EF5E93">
        <w:t xml:space="preserve"> perfringens and Clostridium botulinum</w:t>
      </w:r>
    </w:p>
    <w:p w:rsidR="00000000" w:rsidRPr="00EF5E93" w:rsidP="00EF5E93">
      <w:pPr>
        <w:pStyle w:val="ListBullet2"/>
      </w:pPr>
      <w:r w:rsidRPr="00EF5E93">
        <w:t>listeria monocytogenes</w:t>
      </w:r>
    </w:p>
    <w:p w:rsidR="00000000" w:rsidRPr="00EF5E93" w:rsidP="00EF5E93">
      <w:pPr>
        <w:pStyle w:val="ListBullet2"/>
      </w:pPr>
      <w:r w:rsidRPr="00EF5E93">
        <w:t>Salmonella spp</w:t>
      </w:r>
    </w:p>
    <w:p w:rsidR="00000000" w:rsidRPr="00EF5E93" w:rsidP="00EF5E93">
      <w:pPr>
        <w:pStyle w:val="ListBullet2"/>
      </w:pPr>
      <w:r w:rsidRPr="00EF5E93">
        <w:t>Staphylococcus aureus</w:t>
      </w:r>
    </w:p>
    <w:p w:rsidR="00000000" w:rsidRPr="00EF5E93" w:rsidP="00EF5E93">
      <w:pPr>
        <w:pStyle w:val="ListBullet2"/>
      </w:pPr>
      <w:r w:rsidRPr="00EF5E93">
        <w:t>Yersinia enterocolitica</w:t>
      </w:r>
    </w:p>
    <w:p w:rsidR="00000000" w:rsidRPr="00EF5E93" w:rsidP="00EF5E93">
      <w:pPr>
        <w:pStyle w:val="ListBullet2"/>
      </w:pPr>
      <w:r w:rsidRPr="00EF5E93">
        <w:t>viruses</w:t>
      </w:r>
    </w:p>
    <w:p w:rsidR="00000000" w:rsidRPr="00EF5E93" w:rsidP="00EF5E93">
      <w:pPr>
        <w:pStyle w:val="ListBullet2"/>
      </w:pPr>
      <w:r w:rsidRPr="00EF5E93">
        <w:t>moulds and fungi</w:t>
      </w:r>
    </w:p>
    <w:p w:rsidR="00000000" w:rsidRPr="00EF5E93" w:rsidP="00EF5E93">
      <w:pPr>
        <w:pStyle w:val="ListBullet2"/>
      </w:pPr>
      <w:r w:rsidRPr="00EF5E93">
        <w:t>parasites</w:t>
      </w:r>
    </w:p>
    <w:p w:rsidR="00000000" w:rsidRPr="00EF5E93" w:rsidP="00EF5E93">
      <w:pPr>
        <w:pStyle w:val="ListBullet2"/>
      </w:pPr>
      <w:r w:rsidRPr="00EF5E93">
        <w:t>algae</w:t>
      </w:r>
    </w:p>
    <w:p w:rsidR="00000000" w:rsidRPr="00EF5E93" w:rsidP="00EF5E93">
      <w:pPr>
        <w:pStyle w:val="ListBullet"/>
      </w:pPr>
      <w:r w:rsidRPr="00EF5E93">
        <w:t>risks posed by products that can be consumed without heating or cooking, including uncooked</w:t>
      </w:r>
      <w:r w:rsidRPr="00EF5E93">
        <w:t xml:space="preserve"> fermented meat, uncooked comminuted fermented meat (UCFM) and other salami products</w:t>
      </w:r>
    </w:p>
    <w:p w:rsidR="00000000" w:rsidRPr="00EF5E93" w:rsidP="00EF5E93">
      <w:pPr>
        <w:pStyle w:val="ListBullet"/>
      </w:pPr>
      <w:r w:rsidRPr="00EF5E93">
        <w:t>survival and growth characteristics of pathogens and ability of processed product to support pathogen growth</w:t>
      </w:r>
    </w:p>
    <w:p w:rsidR="00000000" w:rsidRPr="00EF5E93" w:rsidP="00EF5E93">
      <w:pPr>
        <w:pStyle w:val="ListBullet"/>
      </w:pPr>
      <w:r w:rsidRPr="00EF5E93">
        <w:t>chemicals that pose a food safety risk in meat products, and related control methods</w:t>
      </w:r>
    </w:p>
    <w:p w:rsidR="00000000" w:rsidRPr="00EF5E93" w:rsidP="00EF5E93">
      <w:pPr>
        <w:pStyle w:val="ListBullet"/>
      </w:pPr>
      <w:r w:rsidRPr="00EF5E93">
        <w:t>physical sources of contamination and related control methods</w:t>
      </w:r>
    </w:p>
    <w:p w:rsidR="00000000" w:rsidRPr="00EF5E93" w:rsidP="00EF5E93">
      <w:pPr>
        <w:pStyle w:val="ListBullet"/>
      </w:pPr>
      <w:r w:rsidRPr="00EF5E93">
        <w:t>effect of raw material characteristics, including bacterial load and temperature, and pre-processing conditio</w:t>
      </w:r>
      <w:r w:rsidRPr="00EF5E93">
        <w:t>ns on the growth of pathogens</w:t>
      </w:r>
    </w:p>
    <w:p w:rsidR="00000000" w:rsidRPr="00EF5E93" w:rsidP="00EF5E93">
      <w:pPr>
        <w:pStyle w:val="ListBullet"/>
      </w:pPr>
      <w:r w:rsidRPr="00EF5E93">
        <w:t>prerequisite programs required to support safe manufacture of ready-to-eat meat products</w:t>
      </w:r>
    </w:p>
    <w:p w:rsidR="00000000" w:rsidRPr="00EF5E93" w:rsidP="00EF5E93">
      <w:pPr>
        <w:pStyle w:val="ListBullet"/>
      </w:pPr>
      <w:r w:rsidRPr="00EF5E93">
        <w:t>purpose, role and storage requirements of ingredients</w:t>
      </w:r>
    </w:p>
    <w:p w:rsidR="00000000" w:rsidRPr="00EF5E93" w:rsidP="00EF5E93">
      <w:pPr>
        <w:pStyle w:val="ListBullet"/>
      </w:pPr>
      <w:r w:rsidRPr="00EF5E93">
        <w:t>principles of manufacturing methods and factors that affect processing requirements</w:t>
      </w:r>
    </w:p>
    <w:p w:rsidR="00000000" w:rsidRPr="00EF5E93" w:rsidP="00EF5E93">
      <w:pPr>
        <w:pStyle w:val="ListBullet"/>
      </w:pPr>
      <w:r w:rsidRPr="00EF5E93">
        <w:t>use and effectiveness of hurdle technologies</w:t>
      </w:r>
    </w:p>
    <w:p w:rsidR="00000000" w:rsidRPr="00EF5E93" w:rsidP="00EF5E93">
      <w:pPr>
        <w:pStyle w:val="ListBullet"/>
      </w:pPr>
      <w:r w:rsidRPr="00EF5E93">
        <w:t>principles of packaging to form a suitable seal, and requirements of post-processing handling and conditions to ensure safe product</w:t>
      </w:r>
    </w:p>
    <w:p w:rsidR="00000000" w:rsidRPr="00EF5E93" w:rsidP="00EF5E93">
      <w:pPr>
        <w:pStyle w:val="ListBullet"/>
      </w:pPr>
      <w:r w:rsidRPr="00EF5E93">
        <w:t xml:space="preserve">principles of operation of ready-to-eat meat product manufacturing equipment, </w:t>
      </w:r>
      <w:r w:rsidRPr="00EF5E93">
        <w:t>including equipment features required to meet regulatory requirements and critical factors to be controlled to ensure safe food outcomes</w:t>
      </w:r>
    </w:p>
    <w:p w:rsidR="00000000" w:rsidRPr="00EF5E93" w:rsidP="00EF5E93">
      <w:pPr>
        <w:pStyle w:val="ListBullet"/>
      </w:pPr>
      <w:r w:rsidRPr="00EF5E93">
        <w:t>indications of unacceptable product, and related test requirements</w:t>
      </w:r>
    </w:p>
    <w:p w:rsidR="00000000" w:rsidRPr="00EF5E93" w:rsidP="00EF5E93">
      <w:pPr>
        <w:pStyle w:val="ListBullet"/>
      </w:pPr>
      <w:r w:rsidRPr="00EF5E93">
        <w:t>principles of test methods and frequency in monitori</w:t>
      </w:r>
      <w:r w:rsidRPr="00EF5E93">
        <w:t>ng condition of raw materials and processing, and in confirming that final product is fit for human consumption.</w:t>
      </w:r>
    </w:p>
    <w:p w:rsidR="00000000" w:rsidRPr="00EF5E93" w:rsidP="00EF5E93">
      <w:pPr>
        <w:pStyle w:val="AllowPageBreak"/>
      </w:pPr>
    </w:p>
    <w:p w:rsidR="00000000" w:rsidRPr="00EF5E93" w:rsidP="00EF5E93">
      <w:pPr>
        <w:pStyle w:val="Heading1"/>
      </w:pPr>
      <w:bookmarkStart w:id="4" w:name="O_993151"/>
      <w:bookmarkEnd w:id="4"/>
      <w:r w:rsidRPr="00EF5E93">
        <w:t>Assessment Conditions</w:t>
      </w:r>
    </w:p>
    <w:p w:rsidR="00000000" w:rsidRPr="00EF5E93" w:rsidP="001D10D8">
      <w:pPr>
        <w:pStyle w:val="BodyText"/>
      </w:pPr>
      <w:r w:rsidRPr="00EF5E93">
        <w:t xml:space="preserve">Assessment of skills must take place under the following conditions: </w:t>
      </w:r>
    </w:p>
    <w:p w:rsidR="00000000" w:rsidRPr="00EF5E93" w:rsidP="00EF5E93">
      <w:pPr>
        <w:pStyle w:val="ListBullet"/>
      </w:pPr>
      <w:r w:rsidRPr="00EF5E93">
        <w:t>physical conditions:</w:t>
      </w:r>
    </w:p>
    <w:p w:rsidR="00000000" w:rsidRPr="00EF5E93" w:rsidP="00EF5E93">
      <w:pPr>
        <w:pStyle w:val="ListBullet2"/>
      </w:pPr>
      <w:r w:rsidRPr="00EF5E93">
        <w:t>skills must</w:t>
      </w:r>
      <w:r w:rsidRPr="00EF5E93">
        <w:t xml:space="preserve"> be demonstrated as an individual (not part of a group) in a real workplace </w:t>
      </w:r>
    </w:p>
    <w:p w:rsidR="00000000" w:rsidRPr="00EF5E93" w:rsidP="00EF5E93">
      <w:pPr>
        <w:pStyle w:val="ListBullet"/>
      </w:pPr>
      <w:r w:rsidRPr="00EF5E93">
        <w:t>resources, equipment and materials:</w:t>
      </w:r>
    </w:p>
    <w:p w:rsidR="00000000" w:rsidRPr="00EF5E93" w:rsidP="00EF5E93">
      <w:pPr>
        <w:pStyle w:val="ListBullet2"/>
      </w:pPr>
      <w:r w:rsidRPr="00EF5E93">
        <w:t>plant and equipment that would typically be used in the commercial manufacture of ready-to-eat meat products</w:t>
      </w:r>
    </w:p>
    <w:p w:rsidR="00000000" w:rsidRPr="00EF5E93" w:rsidP="00EF5E93">
      <w:pPr>
        <w:pStyle w:val="ListBullet2"/>
      </w:pPr>
      <w:r w:rsidRPr="00EF5E93">
        <w:t xml:space="preserve">food safety </w:t>
      </w:r>
      <w:r w:rsidRPr="00EF5E93">
        <w:t>programs and related documentation</w:t>
      </w:r>
    </w:p>
    <w:p w:rsidR="00000000" w:rsidRPr="00EF5E93" w:rsidP="00EF5E93">
      <w:pPr>
        <w:pStyle w:val="ListBullet"/>
      </w:pPr>
      <w:r w:rsidRPr="00EF5E93">
        <w:t>specifications:</w:t>
      </w:r>
    </w:p>
    <w:p w:rsidR="00000000" w:rsidRPr="00EF5E93" w:rsidP="00EF5E93">
      <w:pPr>
        <w:pStyle w:val="ListBullet2"/>
      </w:pPr>
      <w:r w:rsidRPr="00EF5E93">
        <w:t>records for the purpose of verification</w:t>
      </w:r>
    </w:p>
    <w:p w:rsidR="00000000" w:rsidRPr="00EF5E93" w:rsidP="00EF5E93">
      <w:pPr>
        <w:pStyle w:val="ListBullet2"/>
      </w:pPr>
      <w:r w:rsidRPr="00EF5E93">
        <w:t>evidence to support validation.</w:t>
      </w:r>
    </w:p>
    <w:p w:rsidR="00000000" w:rsidRPr="00EF5E93" w:rsidP="001D10D8">
      <w:pPr>
        <w:pStyle w:val="BodyText"/>
      </w:pPr>
      <w:r w:rsidRPr="00EF5E93">
        <w:t>Assessors of this unit must satisfy the requirements for assessors in applicable vocational education and training legislation, fra</w:t>
      </w:r>
      <w:r w:rsidRPr="00EF5E93">
        <w:t>meworks and/or standards.</w:t>
      </w:r>
    </w:p>
    <w:p w:rsidR="00000000" w:rsidRPr="00EF5E93" w:rsidP="00EF5E93">
      <w:pPr>
        <w:pStyle w:val="Heading1"/>
      </w:pPr>
      <w:bookmarkStart w:id="5" w:name="O_993154"/>
      <w:bookmarkEnd w:id="5"/>
      <w:r w:rsidRPr="00EF5E93">
        <w:t>Links</w:t>
      </w:r>
    </w:p>
    <w:p w:rsidR="00000000" w:rsidRPr="00EF5E93" w:rsidP="001D10D8">
      <w:pPr>
        <w:pStyle w:val="BodyText"/>
      </w:pPr>
      <w:r w:rsidRPr="00EF5E93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810D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F5E93" w:rsidP="00EF5E93"/>
    <w:sectPr w:rsidSect="00EF5E9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E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E93" w:rsidRPr="001D10D8" w:rsidP="001D10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E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0D8" w:rsidP="00EF5E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10D8" w:rsidP="00EF5E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D10D8" w:rsidP="00EF5E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E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0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5E93" w:rsidRPr="001D10D8" w:rsidP="001D10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5E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0D8" w:rsidRPr="002D2AF8" w:rsidP="00EF5E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FBPAUD5004 Audit manufacturing of ready-to-eat meat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1D10D8" w:rsidP="00EF5E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1C88A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90DF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26C2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5E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5E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5E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5E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5E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5E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5E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5E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5E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5E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5E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5E93"/>
  </w:style>
  <w:style w:type="character" w:customStyle="1" w:styleId="Heading1Char">
    <w:name w:val="Heading 1 Char"/>
    <w:basedOn w:val="DefaultParagraphFont"/>
    <w:link w:val="Heading1"/>
    <w:rsid w:val="00EF5E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5E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5E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5E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5E93"/>
    <w:rPr>
      <w:b/>
      <w:spacing w:val="0"/>
    </w:rPr>
  </w:style>
  <w:style w:type="paragraph" w:styleId="ListBullet2">
    <w:name w:val="List Bullet 2"/>
    <w:basedOn w:val="List2"/>
    <w:rsid w:val="00EF5E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F5E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5E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5E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5E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5E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5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5E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5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5E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5E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5E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5E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5E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5E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5E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5E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5E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5E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5E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5E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5E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5E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5E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5E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5E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F5E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5E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5E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5E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5E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5E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5E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5E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5E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5E93"/>
    <w:rPr>
      <w:i/>
    </w:rPr>
  </w:style>
  <w:style w:type="paragraph" w:styleId="Caption">
    <w:name w:val="caption"/>
    <w:basedOn w:val="BodyText"/>
    <w:next w:val="Normal"/>
    <w:qFormat/>
    <w:rsid w:val="00EF5E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5E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5E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5E93"/>
  </w:style>
  <w:style w:type="paragraph" w:styleId="TableofFigures">
    <w:name w:val="table of figures"/>
    <w:basedOn w:val="Normal"/>
    <w:next w:val="Normal"/>
    <w:semiHidden/>
    <w:rsid w:val="00EF5E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5E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F5E93"/>
    <w:rPr>
      <w:rFonts w:ascii="Wingdings" w:hAnsi="Wingdings"/>
    </w:rPr>
  </w:style>
  <w:style w:type="paragraph" w:customStyle="1" w:styleId="TableHeading">
    <w:name w:val="Table Heading"/>
    <w:basedOn w:val="HeadingBase"/>
    <w:rsid w:val="00EF5E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5E93"/>
    <w:rPr>
      <w:color w:val="0033CC"/>
      <w:u w:val="none"/>
    </w:rPr>
  </w:style>
  <w:style w:type="paragraph" w:customStyle="1" w:styleId="BodyTextRight">
    <w:name w:val="Body Text Right"/>
    <w:basedOn w:val="BodyText"/>
    <w:rsid w:val="00EF5E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5E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5E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5E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5E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5E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5E93"/>
    <w:rPr>
      <w:sz w:val="32"/>
    </w:rPr>
  </w:style>
  <w:style w:type="paragraph" w:customStyle="1" w:styleId="HeadingProcedure">
    <w:name w:val="Heading Procedure"/>
    <w:basedOn w:val="HeadingBase"/>
    <w:next w:val="Normal"/>
    <w:rsid w:val="00EF5E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5E93"/>
    <w:pPr>
      <w:spacing w:before="60" w:after="60"/>
    </w:pPr>
  </w:style>
  <w:style w:type="paragraph" w:styleId="ListContinue">
    <w:name w:val="List Continue"/>
    <w:basedOn w:val="List"/>
    <w:rsid w:val="00EF5E93"/>
    <w:pPr>
      <w:ind w:firstLine="0"/>
    </w:pPr>
  </w:style>
  <w:style w:type="paragraph" w:customStyle="1" w:styleId="ListNote">
    <w:name w:val="List Note"/>
    <w:basedOn w:val="List"/>
    <w:rsid w:val="00EF5E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5E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5E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5E93"/>
    <w:rPr>
      <w:rFonts w:ascii="Courier New" w:hAnsi="Courier New"/>
    </w:rPr>
  </w:style>
  <w:style w:type="paragraph" w:customStyle="1" w:styleId="NoteBullet">
    <w:name w:val="Note Bullet"/>
    <w:basedOn w:val="Note"/>
    <w:rsid w:val="00EF5E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5E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5E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5E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5E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5E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5E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5E93"/>
    <w:rPr>
      <w:b/>
      <w:smallCaps/>
    </w:rPr>
  </w:style>
  <w:style w:type="paragraph" w:customStyle="1" w:styleId="TableListNumber">
    <w:name w:val="Table List Number"/>
    <w:basedOn w:val="ListNumber"/>
    <w:rsid w:val="00EF5E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5E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5E93"/>
    <w:pPr>
      <w:numPr>
        <w:numId w:val="9"/>
      </w:numPr>
    </w:pPr>
  </w:style>
  <w:style w:type="paragraph" w:customStyle="1" w:styleId="ListAlpha2">
    <w:name w:val="List Alpha 2"/>
    <w:basedOn w:val="List2"/>
    <w:rsid w:val="00EF5E93"/>
    <w:pPr>
      <w:numPr>
        <w:numId w:val="8"/>
      </w:numPr>
    </w:pPr>
  </w:style>
  <w:style w:type="paragraph" w:styleId="List2">
    <w:name w:val="List 2"/>
    <w:basedOn w:val="BodyText"/>
    <w:rsid w:val="00EF5E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5E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5E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5E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5E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5E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F5E93"/>
    <w:pPr>
      <w:numPr>
        <w:numId w:val="4"/>
      </w:numPr>
    </w:pPr>
  </w:style>
  <w:style w:type="paragraph" w:styleId="ListContinue2">
    <w:name w:val="List Continue 2"/>
    <w:basedOn w:val="List2"/>
    <w:rsid w:val="00EF5E93"/>
    <w:pPr>
      <w:ind w:firstLine="0"/>
    </w:pPr>
  </w:style>
  <w:style w:type="paragraph" w:styleId="ListContinue3">
    <w:name w:val="List Continue 3"/>
    <w:basedOn w:val="List3"/>
    <w:rsid w:val="00EF5E93"/>
    <w:pPr>
      <w:ind w:left="1021" w:firstLine="0"/>
    </w:pPr>
  </w:style>
  <w:style w:type="paragraph" w:styleId="ListContinue4">
    <w:name w:val="List Continue 4"/>
    <w:basedOn w:val="List4"/>
    <w:rsid w:val="00EF5E93"/>
    <w:pPr>
      <w:ind w:firstLine="0"/>
    </w:pPr>
  </w:style>
  <w:style w:type="paragraph" w:styleId="ListContinue5">
    <w:name w:val="List Continue 5"/>
    <w:basedOn w:val="List5"/>
    <w:rsid w:val="00EF5E93"/>
    <w:pPr>
      <w:ind w:firstLine="0"/>
    </w:pPr>
  </w:style>
  <w:style w:type="paragraph" w:styleId="ListNumber3">
    <w:name w:val="List Number 3"/>
    <w:basedOn w:val="List3"/>
    <w:rsid w:val="00EF5E93"/>
    <w:pPr>
      <w:numPr>
        <w:numId w:val="5"/>
      </w:numPr>
    </w:pPr>
  </w:style>
  <w:style w:type="paragraph" w:styleId="ListNumber4">
    <w:name w:val="List Number 4"/>
    <w:basedOn w:val="List4"/>
    <w:rsid w:val="00EF5E93"/>
    <w:pPr>
      <w:numPr>
        <w:numId w:val="6"/>
      </w:numPr>
    </w:pPr>
  </w:style>
  <w:style w:type="paragraph" w:styleId="ListNumber5">
    <w:name w:val="List Number 5"/>
    <w:basedOn w:val="List5"/>
    <w:rsid w:val="00EF5E93"/>
    <w:pPr>
      <w:numPr>
        <w:numId w:val="7"/>
      </w:numPr>
    </w:pPr>
  </w:style>
  <w:style w:type="paragraph" w:styleId="BlockText">
    <w:name w:val="Block Text"/>
    <w:basedOn w:val="Normal"/>
    <w:rsid w:val="00EF5E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5E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5E93"/>
    <w:rPr>
      <w:sz w:val="16"/>
      <w:vertAlign w:val="superscript"/>
    </w:rPr>
  </w:style>
  <w:style w:type="character" w:customStyle="1" w:styleId="Symbols">
    <w:name w:val="Symbols"/>
    <w:basedOn w:val="DefaultParagraphFont"/>
    <w:rsid w:val="00EF5E93"/>
    <w:rPr>
      <w:rFonts w:ascii="Symbol" w:hAnsi="Symbol"/>
    </w:rPr>
  </w:style>
  <w:style w:type="character" w:customStyle="1" w:styleId="MenuOptions">
    <w:name w:val="Menu Options"/>
    <w:basedOn w:val="DefaultParagraphFont"/>
    <w:rsid w:val="00EF5E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5E93"/>
    <w:rPr>
      <w:b/>
    </w:rPr>
  </w:style>
  <w:style w:type="character" w:customStyle="1" w:styleId="Underlined">
    <w:name w:val="Underlined"/>
    <w:basedOn w:val="DefaultParagraphFont"/>
    <w:rsid w:val="00EF5E93"/>
    <w:rPr>
      <w:u w:val="single"/>
    </w:rPr>
  </w:style>
  <w:style w:type="paragraph" w:customStyle="1" w:styleId="TableBodyTextRight">
    <w:name w:val="Table Body Text Right"/>
    <w:basedOn w:val="TableBodyText"/>
    <w:rsid w:val="00EF5E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5E93"/>
    <w:rPr>
      <w:sz w:val="18"/>
    </w:rPr>
  </w:style>
  <w:style w:type="paragraph" w:customStyle="1" w:styleId="BodySmallRight">
    <w:name w:val="Body Small Right"/>
    <w:basedOn w:val="BodyTextRight"/>
    <w:rsid w:val="00EF5E93"/>
    <w:rPr>
      <w:sz w:val="18"/>
      <w:szCs w:val="18"/>
    </w:rPr>
  </w:style>
  <w:style w:type="paragraph" w:customStyle="1" w:styleId="MarginEdition">
    <w:name w:val="Margin Edition"/>
    <w:basedOn w:val="MarginNote"/>
    <w:rsid w:val="00EF5E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5E93"/>
    <w:rPr>
      <w:sz w:val="2"/>
      <w:szCs w:val="2"/>
    </w:rPr>
  </w:style>
  <w:style w:type="character" w:customStyle="1" w:styleId="Small">
    <w:name w:val="Small"/>
    <w:basedOn w:val="DefaultParagraphFont"/>
    <w:rsid w:val="00EF5E93"/>
    <w:rPr>
      <w:sz w:val="16"/>
    </w:rPr>
  </w:style>
  <w:style w:type="paragraph" w:customStyle="1" w:styleId="WideTable">
    <w:name w:val="Wide Table"/>
    <w:basedOn w:val="Normal"/>
    <w:rsid w:val="00EF5E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5E93"/>
  </w:style>
  <w:style w:type="paragraph" w:styleId="Quote">
    <w:name w:val="Quote"/>
    <w:basedOn w:val="Heading1"/>
    <w:link w:val="QuoteChar"/>
    <w:qFormat/>
    <w:rsid w:val="00EF5E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5E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5E93"/>
    <w:pPr>
      <w:pageBreakBefore/>
    </w:pPr>
  </w:style>
  <w:style w:type="paragraph" w:customStyle="1" w:styleId="Border">
    <w:name w:val="Border"/>
    <w:basedOn w:val="Normal"/>
    <w:qFormat/>
    <w:rsid w:val="00EF5E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5E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5E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5E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5E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5E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5E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5E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5E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5E93"/>
    <w:rPr>
      <w:u w:val="single"/>
    </w:rPr>
  </w:style>
  <w:style w:type="character" w:customStyle="1" w:styleId="BoldandItalics">
    <w:name w:val="Bold and Italics"/>
    <w:qFormat/>
    <w:rsid w:val="00EF5E93"/>
    <w:rPr>
      <w:b/>
      <w:i/>
      <w:u w:val="none"/>
    </w:rPr>
  </w:style>
  <w:style w:type="paragraph" w:styleId="BalloonText">
    <w:name w:val="Balloon Text"/>
    <w:basedOn w:val="Normal"/>
    <w:link w:val="BalloonTextChar"/>
    <w:rsid w:val="00EF5E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5E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5E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5E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5E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5E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5E93"/>
    <w:pPr>
      <w:spacing w:before="0" w:after="0"/>
    </w:pPr>
  </w:style>
  <w:style w:type="paragraph" w:customStyle="1" w:styleId="BodyTextBold">
    <w:name w:val="Body Text Bold"/>
    <w:basedOn w:val="BodyText"/>
    <w:qFormat/>
    <w:rsid w:val="00EF5E93"/>
    <w:rPr>
      <w:b/>
    </w:rPr>
  </w:style>
  <w:style w:type="character" w:styleId="Hyperlink">
    <w:name w:val="Hyperlink"/>
    <w:basedOn w:val="DefaultParagraphFont"/>
    <w:uiPriority w:val="99"/>
    <w:unhideWhenUsed/>
    <w:rsid w:val="001D10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4211</Characters>
  <Application>Microsoft Office Word</Application>
  <DocSecurity>0</DocSecurity>
  <Lines>102</Lines>
  <Paragraphs>75</Paragraphs>
  <ScaleCrop>false</ScaleCrop>
  <Company>Author-it Software Corporation Ltd.</Company>
  <LinksUpToDate>false</LinksUpToDate>
  <CharactersWithSpaces>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FBPAUD5004 Audit manufacturing of ready-to-eat meat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2023-01-25T12:28:00Z</dcterms:created>
  <dcterms:modified xsi:type="dcterms:W3CDTF">2023-01-25T12:28:00Z</dcterms:modified>
</cp:coreProperties>
</file>