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F3A" w:rsidP="00035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FBPAUD5001 Audit bivalve mollusc growing and harvesting processes</w:t>
      </w:r>
      <w:r>
        <w:fldChar w:fldCharType="end"/>
      </w:r>
    </w:p>
    <w:p w:rsidR="00035F3A" w:rsidP="00035F3A">
      <w:pPr>
        <w:pStyle w:val="Version"/>
        <w:sectPr w:rsidSect="00444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C2F" w:rsidP="00444C2F">
      <w:pPr>
        <w:pStyle w:val="SuperHeading"/>
      </w:pPr>
      <w:r w:rsidRPr="00444C2F">
        <w:t>FBPAUD5001 Audit bivalve mollusc growing and harvesting processes</w:t>
      </w:r>
    </w:p>
    <w:p w:rsidR="00000000" w:rsidRPr="00444C2F" w:rsidP="00444C2F">
      <w:pPr>
        <w:pStyle w:val="Heading1"/>
      </w:pPr>
      <w:bookmarkStart w:id="1" w:name="O_993081"/>
      <w:bookmarkEnd w:id="1"/>
      <w:r w:rsidRPr="00444C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44C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rPr>
                <w:rStyle w:val="SpecialBold"/>
              </w:rPr>
              <w:t>Comments</w:t>
            </w:r>
          </w:p>
        </w:tc>
      </w:tr>
      <w:tr w:rsidTr="00444C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t>This version released with the FBP Food, Beverage and Pharmaceutical Training Package Version 2.0.</w:t>
            </w:r>
          </w:p>
        </w:tc>
      </w:tr>
    </w:tbl>
    <w:p w:rsidR="00000000" w:rsidRPr="00444C2F" w:rsidP="00444C2F">
      <w:pPr>
        <w:pStyle w:val="BodyText"/>
      </w:pPr>
    </w:p>
    <w:p w:rsidR="00000000" w:rsidRPr="00444C2F" w:rsidP="00444C2F">
      <w:pPr>
        <w:pStyle w:val="AllowPageBreak"/>
      </w:pPr>
    </w:p>
    <w:p w:rsidR="00000000" w:rsidRPr="00444C2F" w:rsidP="00444C2F">
      <w:pPr>
        <w:pStyle w:val="Heading1"/>
      </w:pPr>
      <w:bookmarkStart w:id="2" w:name="O_993082"/>
      <w:bookmarkEnd w:id="2"/>
      <w:r w:rsidRPr="00444C2F">
        <w:t>Application</w:t>
      </w:r>
    </w:p>
    <w:p w:rsidR="00000000" w:rsidRPr="00444C2F" w:rsidP="00035F3A">
      <w:pPr>
        <w:pStyle w:val="BodyText"/>
      </w:pPr>
      <w:r w:rsidRPr="00444C2F">
        <w:t xml:space="preserve">This unit of competency describes the skills and knowledge required to support a food safety audit of food safety programs of bivalve mollusc producers. The unit covers on-shore and wild growing, harvesting, cleaning, post-harvest handling and </w:t>
      </w:r>
      <w:r w:rsidRPr="00444C2F">
        <w:t>storage, stock movement, depuration and wet storage.</w:t>
      </w:r>
    </w:p>
    <w:p w:rsidR="00000000" w:rsidRPr="00444C2F" w:rsidP="00035F3A">
      <w:pPr>
        <w:pStyle w:val="BodyText"/>
      </w:pPr>
      <w:r w:rsidRPr="00444C2F">
        <w:t>This unit applies to individuals who are responsible for auditing a bivalve mollusc growing and harvesting process. These audits would typically occur within the context of auditing a food safety program</w:t>
      </w:r>
      <w:r w:rsidRPr="00444C2F">
        <w:t xml:space="preserve"> that defines related prerequisite program requirements. The audits are supported by state, territory and Commonwealth government regulations prescribing processes and requirements relating to the production of bivalve molluscs.</w:t>
      </w:r>
    </w:p>
    <w:p w:rsidR="00000000" w:rsidRPr="00444C2F" w:rsidP="00035F3A">
      <w:pPr>
        <w:pStyle w:val="BodyText"/>
      </w:pPr>
      <w:r w:rsidRPr="00444C2F">
        <w:t>This unit does not cover th</w:t>
      </w:r>
      <w:r w:rsidRPr="00444C2F">
        <w:t>e skills and knowledge to audit the classification of growing areas.</w:t>
      </w:r>
    </w:p>
    <w:p w:rsidR="00000000" w:rsidRPr="00444C2F" w:rsidP="00035F3A">
      <w:pPr>
        <w:pStyle w:val="BodyText"/>
      </w:pPr>
      <w:r w:rsidRPr="00444C2F">
        <w:t>This unit supports relevant legislation, including food standards included in the Australia New Zealand Food Standards Code, industry codes of practice relating to validation and verifica</w:t>
      </w:r>
      <w:r w:rsidRPr="00444C2F">
        <w:t>tion of a food safety program, and the audit requirements detailed in the National Regulatory Food Safety Auditor Guideline and Policy, and should be read in conjunction with these documents.</w:t>
      </w:r>
    </w:p>
    <w:p w:rsidR="00000000" w:rsidRPr="00444C2F" w:rsidP="00035F3A">
      <w:pPr>
        <w:pStyle w:val="BodyText"/>
      </w:pPr>
      <w:r w:rsidRPr="00444C2F">
        <w:t>Both regulatory and commercial audit system owners may specify a</w:t>
      </w:r>
      <w:r w:rsidRPr="00444C2F">
        <w:t>dditional certification requirements of auditors eligible to audit food safety programs within their system.</w:t>
      </w:r>
    </w:p>
    <w:p w:rsidR="00000000" w:rsidRPr="00444C2F" w:rsidP="00444C2F">
      <w:pPr>
        <w:pStyle w:val="Heading1"/>
      </w:pPr>
      <w:bookmarkStart w:id="3" w:name="O_993083"/>
      <w:bookmarkEnd w:id="3"/>
      <w:r w:rsidRPr="00444C2F">
        <w:t>Pre-requisite Unit</w:t>
      </w:r>
    </w:p>
    <w:p w:rsidR="00000000" w:rsidRPr="00444C2F" w:rsidP="00035F3A">
      <w:pPr>
        <w:pStyle w:val="BodyText"/>
      </w:pPr>
      <w:r w:rsidRPr="00444C2F">
        <w:t>The prerequisite units of competency for this unit are:</w:t>
      </w:r>
    </w:p>
    <w:p w:rsidR="00000000" w:rsidRPr="00444C2F" w:rsidP="00444C2F">
      <w:pPr>
        <w:pStyle w:val="ListBullet"/>
      </w:pPr>
      <w:r w:rsidRPr="00444C2F">
        <w:t>FBPAUD4002 Communicate and negotiate to conduct food s</w:t>
      </w:r>
      <w:r w:rsidRPr="00444C2F">
        <w:t>afety audits</w:t>
      </w:r>
    </w:p>
    <w:p w:rsidR="00000000" w:rsidRPr="00444C2F" w:rsidP="00444C2F">
      <w:pPr>
        <w:pStyle w:val="ListBullet"/>
      </w:pPr>
      <w:r w:rsidRPr="00444C2F">
        <w:t>FBPAUD4003 Conduct food safety audits</w:t>
      </w:r>
    </w:p>
    <w:p w:rsidR="00000000" w:rsidRPr="00444C2F" w:rsidP="00444C2F">
      <w:pPr>
        <w:pStyle w:val="ListBullet"/>
      </w:pPr>
      <w:r w:rsidRPr="00444C2F">
        <w:t>FBPAUD4004 Identify, evaluate and control food safety hazards</w:t>
      </w:r>
    </w:p>
    <w:p w:rsidR="00000000" w:rsidRPr="00444C2F" w:rsidP="00444C2F">
      <w:pPr>
        <w:pStyle w:val="AllowPageBreak"/>
      </w:pPr>
    </w:p>
    <w:p w:rsidR="00000000" w:rsidRPr="00444C2F" w:rsidP="00444C2F">
      <w:pPr>
        <w:pStyle w:val="Heading1"/>
      </w:pPr>
      <w:bookmarkStart w:id="4" w:name="O_993085"/>
      <w:bookmarkEnd w:id="4"/>
      <w:r w:rsidRPr="00444C2F">
        <w:t>Unit Sector</w:t>
      </w:r>
    </w:p>
    <w:p w:rsidR="00000000" w:rsidRPr="00444C2F" w:rsidP="00035F3A">
      <w:pPr>
        <w:pStyle w:val="BodyText"/>
      </w:pPr>
      <w:r w:rsidRPr="00444C2F">
        <w:t>Food safety auditing (AUD)</w:t>
      </w:r>
    </w:p>
    <w:p w:rsidR="00000000" w:rsidRPr="00444C2F" w:rsidP="00444C2F">
      <w:pPr>
        <w:pStyle w:val="Heading1"/>
      </w:pPr>
      <w:bookmarkStart w:id="5" w:name="O_993086"/>
      <w:bookmarkEnd w:id="5"/>
      <w:r w:rsidRPr="00444C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rPr>
                <w:rStyle w:val="SpecialBold"/>
              </w:rPr>
              <w:t>Performance Criteria</w:t>
            </w:r>
          </w:p>
        </w:tc>
      </w:tr>
      <w:tr w:rsidTr="0003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1. Identify and assess food safety hazards and related control options for growing and harvesting bivalve molluscs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t>1.1 Identify microbiological food safety hazards, by type and origin, that could present a risk when bivalve molluscs are consumed, and assess to determine risk level and control requirements</w:t>
            </w:r>
          </w:p>
          <w:p w:rsidR="00000000" w:rsidRPr="00444C2F" w:rsidP="00444C2F">
            <w:pPr>
              <w:pStyle w:val="BodyText"/>
            </w:pPr>
            <w:r w:rsidRPr="00444C2F">
              <w:t>1.2 Identify chemical food safety hazards that could present a r</w:t>
            </w:r>
            <w:r w:rsidRPr="00444C2F">
              <w:t>isk in bivalve molluscs at the point of consumption, including toxin presence, by type, and assess to determine risk level and control requirements</w:t>
            </w:r>
          </w:p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1.3 Identify control requirements and methods to ensure that bivalve molluscs meet food safety objectives</w:t>
            </w:r>
          </w:p>
        </w:tc>
      </w:tr>
      <w:tr w:rsidTr="0003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2</w:t>
            </w:r>
            <w:r w:rsidRPr="00444C2F">
              <w:t>. Confirm that appropriate evidence supports validation of growing and harvesting bivalve molluscs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t>2.1 Review validation evidence and records to confirm that an appropriate level of validation has been applied</w:t>
            </w:r>
          </w:p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2.2 Identify and assess evidence used by the b</w:t>
            </w:r>
            <w:r w:rsidRPr="00444C2F">
              <w:t>usiness to validate the process to confirm that it is credible and adequate to meet the food safety objective</w:t>
            </w:r>
          </w:p>
        </w:tc>
      </w:tr>
      <w:tr w:rsidTr="0003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3. Verify bivalve mollusc growing and harvesting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t>3.1 Identify, collect and review system records required to support verification again</w:t>
            </w:r>
            <w:r w:rsidRPr="00444C2F">
              <w:t xml:space="preserve">st relevant shellfish quality programs </w:t>
            </w:r>
          </w:p>
          <w:p w:rsidR="00000000" w:rsidRPr="00444C2F" w:rsidP="00444C2F">
            <w:pPr>
              <w:pStyle w:val="BodyText"/>
            </w:pPr>
            <w:r w:rsidRPr="00444C2F">
              <w:t>3.2 Review business documentation and conduct inspections to confirm that facilities and equipment design and components comply with regulatory and business standards</w:t>
            </w:r>
          </w:p>
          <w:p w:rsidR="00000000" w:rsidRPr="00444C2F" w:rsidP="00444C2F">
            <w:pPr>
              <w:pStyle w:val="BodyText"/>
            </w:pPr>
            <w:r w:rsidRPr="00444C2F">
              <w:t>3.3 Review business documentation and conduct ins</w:t>
            </w:r>
            <w:r w:rsidRPr="00444C2F">
              <w:t>pections to confirm that operational monitoring and testing procedures and frequency meet regulatory requirements, industry and business standards</w:t>
            </w:r>
          </w:p>
        </w:tc>
      </w:tr>
    </w:tbl>
    <w:p w:rsidR="00000000" w:rsidRPr="00444C2F" w:rsidP="00444C2F">
      <w:pPr>
        <w:pStyle w:val="BodyText"/>
      </w:pPr>
    </w:p>
    <w:p w:rsidR="00000000" w:rsidRPr="00444C2F" w:rsidP="00444C2F">
      <w:pPr>
        <w:pStyle w:val="AllowPageBreak"/>
      </w:pPr>
    </w:p>
    <w:p w:rsidR="00000000" w:rsidRPr="00444C2F" w:rsidP="00444C2F">
      <w:pPr>
        <w:pStyle w:val="Heading1"/>
      </w:pPr>
      <w:bookmarkStart w:id="6" w:name="O_993087"/>
      <w:bookmarkEnd w:id="6"/>
      <w:r w:rsidRPr="00444C2F">
        <w:t>Foundation Skills</w:t>
      </w:r>
    </w:p>
    <w:p w:rsidR="00000000" w:rsidRPr="00035F3A" w:rsidP="00035F3A">
      <w:pPr>
        <w:pStyle w:val="BodyText"/>
        <w:rPr>
          <w:i/>
        </w:rPr>
      </w:pPr>
      <w:r w:rsidRPr="00035F3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4C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rPr>
                <w:rStyle w:val="SpecialBold"/>
              </w:rPr>
              <w:t>Description</w:t>
            </w:r>
          </w:p>
        </w:tc>
      </w:tr>
      <w:tr w:rsidTr="00444C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ListBullet"/>
              <w:rPr>
                <w:lang w:val="en-NZ"/>
              </w:rPr>
            </w:pPr>
            <w:r w:rsidRPr="00444C2F">
              <w:t>Interpret information relating to fo</w:t>
            </w:r>
            <w:r w:rsidRPr="00444C2F">
              <w:t>od safety and audit guidelines</w:t>
            </w:r>
          </w:p>
        </w:tc>
      </w:tr>
      <w:tr w:rsidTr="00444C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 xml:space="preserve">Navigate the world of </w:t>
            </w:r>
            <w:r w:rsidRPr="00444C2F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ListBullet"/>
            </w:pPr>
            <w:r w:rsidRPr="00444C2F">
              <w:t xml:space="preserve">Apply knowledge of regulations and policies relevant to food </w:t>
            </w:r>
            <w:r w:rsidRPr="00444C2F">
              <w:t>safety standards in the workplace</w:t>
            </w:r>
          </w:p>
          <w:p w:rsidR="00000000" w:rsidP="00444C2F">
            <w:pPr>
              <w:pStyle w:val="ListBullet"/>
              <w:rPr>
                <w:lang w:val="en-NZ"/>
              </w:rPr>
            </w:pPr>
            <w:r w:rsidRPr="00444C2F">
              <w:t xml:space="preserve">Monitor adherence to legal and regulatory standards and responsibilities </w:t>
            </w:r>
          </w:p>
        </w:tc>
      </w:tr>
      <w:tr w:rsidTr="00444C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ListBullet"/>
            </w:pPr>
            <w:r w:rsidRPr="00444C2F">
              <w:t>Use problem-solving skills to identify and analyse non-conformance</w:t>
            </w:r>
          </w:p>
        </w:tc>
      </w:tr>
    </w:tbl>
    <w:p w:rsidR="00000000" w:rsidRPr="00444C2F" w:rsidP="00444C2F">
      <w:pPr>
        <w:pStyle w:val="BodyText"/>
      </w:pPr>
    </w:p>
    <w:p w:rsidR="00000000" w:rsidRPr="00444C2F" w:rsidP="00444C2F">
      <w:pPr>
        <w:pStyle w:val="AllowPageBreak"/>
      </w:pPr>
    </w:p>
    <w:p w:rsidR="00000000" w:rsidRPr="00444C2F" w:rsidP="00444C2F">
      <w:pPr>
        <w:pStyle w:val="Heading1"/>
      </w:pPr>
      <w:bookmarkStart w:id="7" w:name="O_993089"/>
      <w:bookmarkEnd w:id="7"/>
      <w:r w:rsidRPr="00444C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44C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rPr>
                <w:rStyle w:val="SpecialBold"/>
              </w:rPr>
              <w:t>Equivalence status</w:t>
            </w:r>
          </w:p>
        </w:tc>
      </w:tr>
      <w:tr w:rsidTr="00444C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FBPAUD5001 Audit bivalve mollusc growing and harvesting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FDFAU4005A Audit bivalve mollusc growing and harvesting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t>Updated to meet Standards for Training Packages</w:t>
            </w:r>
          </w:p>
          <w:p w:rsidR="00000000" w:rsidRPr="00444C2F" w:rsidP="00444C2F">
            <w:pPr>
              <w:pStyle w:val="BodyText"/>
            </w:pPr>
          </w:p>
          <w:p w:rsidR="00000000" w:rsidP="00444C2F">
            <w:pPr>
              <w:pStyle w:val="BodyText"/>
              <w:rPr>
                <w:lang w:val="en-NZ"/>
              </w:rPr>
            </w:pPr>
            <w:r w:rsidRPr="00444C2F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2F" w:rsidP="00444C2F">
            <w:pPr>
              <w:pStyle w:val="BodyText"/>
            </w:pPr>
            <w:r w:rsidRPr="00444C2F">
              <w:t>Equivalent unit</w:t>
            </w:r>
          </w:p>
        </w:tc>
      </w:tr>
    </w:tbl>
    <w:p w:rsidR="00000000" w:rsidRPr="00444C2F" w:rsidP="00444C2F">
      <w:pPr>
        <w:pStyle w:val="BodyText"/>
      </w:pPr>
    </w:p>
    <w:p w:rsidR="00000000" w:rsidRPr="00444C2F" w:rsidP="00444C2F">
      <w:pPr>
        <w:pStyle w:val="AllowPageBreak"/>
      </w:pPr>
    </w:p>
    <w:p w:rsidR="00000000" w:rsidRPr="00444C2F" w:rsidP="00444C2F">
      <w:pPr>
        <w:pStyle w:val="Heading1"/>
      </w:pPr>
      <w:bookmarkStart w:id="8" w:name="O_993096"/>
      <w:bookmarkEnd w:id="8"/>
      <w:r w:rsidRPr="00444C2F">
        <w:t>L</w:t>
      </w:r>
      <w:r w:rsidRPr="00444C2F">
        <w:t>inks</w:t>
      </w:r>
    </w:p>
    <w:p w:rsidR="00000000" w:rsidRPr="00444C2F" w:rsidP="00035F3A">
      <w:pPr>
        <w:pStyle w:val="BodyText"/>
      </w:pPr>
      <w:r w:rsidRPr="00444C2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4150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44C2F" w:rsidP="00444C2F"/>
    <w:sectPr w:rsidSect="00444C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2F" w:rsidRPr="00035F3A" w:rsidP="00035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F3A" w:rsidP="00444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F3A" w:rsidP="00444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5F3A" w:rsidP="00444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C2F" w:rsidRPr="00035F3A" w:rsidP="00035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F3A" w:rsidRPr="002D2AF8" w:rsidP="00444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FBPAUD5001 Audit bivalve mollusc growing and harvesting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35F3A" w:rsidP="00444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92E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FAD6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C2F"/>
  </w:style>
  <w:style w:type="character" w:customStyle="1" w:styleId="Heading1Char">
    <w:name w:val="Heading 1 Char"/>
    <w:basedOn w:val="DefaultParagraphFont"/>
    <w:link w:val="Heading1"/>
    <w:rsid w:val="00444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C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C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C2F"/>
    <w:rPr>
      <w:b/>
      <w:spacing w:val="0"/>
    </w:rPr>
  </w:style>
  <w:style w:type="character" w:styleId="Emphasis">
    <w:name w:val="Emphasis"/>
    <w:basedOn w:val="DefaultParagraphFont"/>
    <w:qFormat/>
    <w:rsid w:val="00444C2F"/>
    <w:rPr>
      <w:i/>
    </w:rPr>
  </w:style>
  <w:style w:type="paragraph" w:customStyle="1" w:styleId="SuperHeading">
    <w:name w:val="SuperHeading"/>
    <w:basedOn w:val="Normal"/>
    <w:rsid w:val="00444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C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C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C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4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C2F"/>
  </w:style>
  <w:style w:type="paragraph" w:styleId="TableofFigures">
    <w:name w:val="table of figures"/>
    <w:basedOn w:val="Normal"/>
    <w:next w:val="Normal"/>
    <w:semiHidden/>
    <w:rsid w:val="00444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C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4C2F"/>
    <w:rPr>
      <w:rFonts w:ascii="Wingdings" w:hAnsi="Wingdings"/>
    </w:rPr>
  </w:style>
  <w:style w:type="paragraph" w:customStyle="1" w:styleId="TableHeading">
    <w:name w:val="Table Heading"/>
    <w:basedOn w:val="HeadingBase"/>
    <w:rsid w:val="00444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C2F"/>
    <w:rPr>
      <w:color w:val="0033CC"/>
      <w:u w:val="none"/>
    </w:rPr>
  </w:style>
  <w:style w:type="paragraph" w:customStyle="1" w:styleId="BodyTextRight">
    <w:name w:val="Body Text Right"/>
    <w:basedOn w:val="BodyText"/>
    <w:rsid w:val="00444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C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C2F"/>
    <w:rPr>
      <w:sz w:val="32"/>
    </w:rPr>
  </w:style>
  <w:style w:type="paragraph" w:customStyle="1" w:styleId="HeadingProcedure">
    <w:name w:val="Heading Procedure"/>
    <w:basedOn w:val="HeadingBase"/>
    <w:next w:val="Normal"/>
    <w:rsid w:val="00444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C2F"/>
    <w:pPr>
      <w:spacing w:before="60" w:after="60"/>
    </w:pPr>
  </w:style>
  <w:style w:type="paragraph" w:styleId="ListContinue">
    <w:name w:val="List Continue"/>
    <w:basedOn w:val="List"/>
    <w:rsid w:val="00444C2F"/>
    <w:pPr>
      <w:ind w:firstLine="0"/>
    </w:pPr>
  </w:style>
  <w:style w:type="paragraph" w:customStyle="1" w:styleId="ListNote">
    <w:name w:val="List Note"/>
    <w:basedOn w:val="List"/>
    <w:rsid w:val="00444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C2F"/>
    <w:rPr>
      <w:rFonts w:ascii="Courier New" w:hAnsi="Courier New"/>
    </w:rPr>
  </w:style>
  <w:style w:type="paragraph" w:customStyle="1" w:styleId="NoteBullet">
    <w:name w:val="Note Bullet"/>
    <w:basedOn w:val="Note"/>
    <w:rsid w:val="00444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C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4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C2F"/>
    <w:rPr>
      <w:b/>
      <w:smallCaps/>
    </w:rPr>
  </w:style>
  <w:style w:type="paragraph" w:customStyle="1" w:styleId="TableListNumber">
    <w:name w:val="Table List Number"/>
    <w:basedOn w:val="ListNumber"/>
    <w:rsid w:val="00444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C2F"/>
    <w:pPr>
      <w:numPr>
        <w:numId w:val="8"/>
      </w:numPr>
    </w:pPr>
  </w:style>
  <w:style w:type="paragraph" w:customStyle="1" w:styleId="ListAlpha2">
    <w:name w:val="List Alpha 2"/>
    <w:basedOn w:val="List2"/>
    <w:rsid w:val="00444C2F"/>
    <w:pPr>
      <w:numPr>
        <w:numId w:val="7"/>
      </w:numPr>
    </w:pPr>
  </w:style>
  <w:style w:type="paragraph" w:styleId="List2">
    <w:name w:val="List 2"/>
    <w:basedOn w:val="BodyText"/>
    <w:rsid w:val="00444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C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C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4C2F"/>
    <w:pPr>
      <w:numPr>
        <w:numId w:val="3"/>
      </w:numPr>
    </w:pPr>
  </w:style>
  <w:style w:type="paragraph" w:styleId="ListContinue2">
    <w:name w:val="List Continue 2"/>
    <w:basedOn w:val="List2"/>
    <w:rsid w:val="00444C2F"/>
    <w:pPr>
      <w:ind w:firstLine="0"/>
    </w:pPr>
  </w:style>
  <w:style w:type="paragraph" w:styleId="ListContinue3">
    <w:name w:val="List Continue 3"/>
    <w:basedOn w:val="List3"/>
    <w:rsid w:val="00444C2F"/>
    <w:pPr>
      <w:ind w:left="1021" w:firstLine="0"/>
    </w:pPr>
  </w:style>
  <w:style w:type="paragraph" w:styleId="ListContinue4">
    <w:name w:val="List Continue 4"/>
    <w:basedOn w:val="List4"/>
    <w:rsid w:val="00444C2F"/>
    <w:pPr>
      <w:ind w:firstLine="0"/>
    </w:pPr>
  </w:style>
  <w:style w:type="paragraph" w:styleId="ListContinue5">
    <w:name w:val="List Continue 5"/>
    <w:basedOn w:val="List5"/>
    <w:rsid w:val="00444C2F"/>
    <w:pPr>
      <w:ind w:firstLine="0"/>
    </w:pPr>
  </w:style>
  <w:style w:type="paragraph" w:styleId="ListNumber3">
    <w:name w:val="List Number 3"/>
    <w:basedOn w:val="List3"/>
    <w:rsid w:val="00444C2F"/>
    <w:pPr>
      <w:numPr>
        <w:numId w:val="4"/>
      </w:numPr>
    </w:pPr>
  </w:style>
  <w:style w:type="paragraph" w:styleId="ListNumber4">
    <w:name w:val="List Number 4"/>
    <w:basedOn w:val="List4"/>
    <w:rsid w:val="00444C2F"/>
    <w:pPr>
      <w:numPr>
        <w:numId w:val="5"/>
      </w:numPr>
    </w:pPr>
  </w:style>
  <w:style w:type="paragraph" w:styleId="ListNumber5">
    <w:name w:val="List Number 5"/>
    <w:basedOn w:val="List5"/>
    <w:rsid w:val="00444C2F"/>
    <w:pPr>
      <w:numPr>
        <w:numId w:val="6"/>
      </w:numPr>
    </w:pPr>
  </w:style>
  <w:style w:type="paragraph" w:styleId="BlockText">
    <w:name w:val="Block Text"/>
    <w:basedOn w:val="Normal"/>
    <w:rsid w:val="00444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C2F"/>
    <w:rPr>
      <w:sz w:val="16"/>
      <w:vertAlign w:val="superscript"/>
    </w:rPr>
  </w:style>
  <w:style w:type="character" w:customStyle="1" w:styleId="Symbols">
    <w:name w:val="Symbols"/>
    <w:basedOn w:val="DefaultParagraphFont"/>
    <w:rsid w:val="00444C2F"/>
    <w:rPr>
      <w:rFonts w:ascii="Symbol" w:hAnsi="Symbol"/>
    </w:rPr>
  </w:style>
  <w:style w:type="character" w:customStyle="1" w:styleId="MenuOptions">
    <w:name w:val="Menu Options"/>
    <w:basedOn w:val="DefaultParagraphFont"/>
    <w:rsid w:val="00444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C2F"/>
    <w:rPr>
      <w:b/>
    </w:rPr>
  </w:style>
  <w:style w:type="character" w:customStyle="1" w:styleId="Underlined">
    <w:name w:val="Underlined"/>
    <w:basedOn w:val="DefaultParagraphFont"/>
    <w:rsid w:val="00444C2F"/>
    <w:rPr>
      <w:u w:val="single"/>
    </w:rPr>
  </w:style>
  <w:style w:type="paragraph" w:customStyle="1" w:styleId="TableBodyTextRight">
    <w:name w:val="Table Body Text Right"/>
    <w:basedOn w:val="TableBodyText"/>
    <w:rsid w:val="00444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C2F"/>
    <w:rPr>
      <w:sz w:val="18"/>
    </w:rPr>
  </w:style>
  <w:style w:type="paragraph" w:customStyle="1" w:styleId="BodySmallRight">
    <w:name w:val="Body Small Right"/>
    <w:basedOn w:val="BodyTextRight"/>
    <w:rsid w:val="00444C2F"/>
    <w:rPr>
      <w:sz w:val="18"/>
      <w:szCs w:val="18"/>
    </w:rPr>
  </w:style>
  <w:style w:type="paragraph" w:customStyle="1" w:styleId="MarginEdition">
    <w:name w:val="Margin Edition"/>
    <w:basedOn w:val="MarginNote"/>
    <w:rsid w:val="00444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C2F"/>
    <w:rPr>
      <w:sz w:val="2"/>
      <w:szCs w:val="2"/>
    </w:rPr>
  </w:style>
  <w:style w:type="character" w:customStyle="1" w:styleId="Small">
    <w:name w:val="Small"/>
    <w:basedOn w:val="DefaultParagraphFont"/>
    <w:rsid w:val="00444C2F"/>
    <w:rPr>
      <w:sz w:val="16"/>
    </w:rPr>
  </w:style>
  <w:style w:type="paragraph" w:customStyle="1" w:styleId="WideTable">
    <w:name w:val="Wide Table"/>
    <w:basedOn w:val="Normal"/>
    <w:rsid w:val="00444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C2F"/>
  </w:style>
  <w:style w:type="paragraph" w:styleId="Quote">
    <w:name w:val="Quote"/>
    <w:basedOn w:val="Heading1"/>
    <w:link w:val="QuoteChar"/>
    <w:qFormat/>
    <w:rsid w:val="00444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C2F"/>
    <w:pPr>
      <w:pageBreakBefore/>
    </w:pPr>
  </w:style>
  <w:style w:type="paragraph" w:customStyle="1" w:styleId="Border">
    <w:name w:val="Border"/>
    <w:basedOn w:val="Normal"/>
    <w:qFormat/>
    <w:rsid w:val="00444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C2F"/>
    <w:rPr>
      <w:u w:val="single"/>
    </w:rPr>
  </w:style>
  <w:style w:type="character" w:customStyle="1" w:styleId="BoldandItalics">
    <w:name w:val="Bold and Italics"/>
    <w:qFormat/>
    <w:rsid w:val="00444C2F"/>
    <w:rPr>
      <w:b/>
      <w:i/>
      <w:u w:val="none"/>
    </w:rPr>
  </w:style>
  <w:style w:type="paragraph" w:styleId="BalloonText">
    <w:name w:val="Balloon Text"/>
    <w:basedOn w:val="Normal"/>
    <w:link w:val="BalloonTextChar"/>
    <w:rsid w:val="00444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C2F"/>
    <w:pPr>
      <w:spacing w:before="0" w:after="0"/>
    </w:pPr>
  </w:style>
  <w:style w:type="paragraph" w:customStyle="1" w:styleId="BodyTextBold">
    <w:name w:val="Body Text Bold"/>
    <w:basedOn w:val="BodyText"/>
    <w:qFormat/>
    <w:rsid w:val="00444C2F"/>
    <w:rPr>
      <w:b/>
    </w:rPr>
  </w:style>
  <w:style w:type="character" w:styleId="Hyperlink">
    <w:name w:val="Hyperlink"/>
    <w:basedOn w:val="DefaultParagraphFont"/>
    <w:uiPriority w:val="99"/>
    <w:unhideWhenUsed/>
    <w:rsid w:val="00035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4298</Characters>
  <Application>Microsoft Office Word</Application>
  <DocSecurity>0</DocSecurity>
  <Lines>143</Lines>
  <Paragraphs>72</Paragraphs>
  <ScaleCrop>false</ScaleCrop>
  <Company>Author-it Software Corporation Ltd.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FBPAUD5001 Audit bivalve mollusc growing and harvesting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2023-01-26T21:39:00Z</dcterms:created>
  <dcterms:modified xsi:type="dcterms:W3CDTF">2023-01-26T21:39:00Z</dcterms:modified>
</cp:coreProperties>
</file>