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1ED" w:rsidP="00CE7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FBPAUD5001 Audit bivalve mollusc growing and harvesting processes</w:t>
      </w:r>
      <w:r>
        <w:fldChar w:fldCharType="end"/>
      </w:r>
    </w:p>
    <w:p w:rsidR="00CE71ED" w:rsidP="00CE71ED">
      <w:pPr>
        <w:pStyle w:val="Version"/>
        <w:sectPr w:rsidSect="00073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199" w:rsidP="00073199">
      <w:pPr>
        <w:pStyle w:val="SuperHeading"/>
      </w:pPr>
      <w:r w:rsidRPr="00073199">
        <w:t>Assessment Requirements for FBPAUD5001 Audit bivalve mollusc growing and harvesting processes</w:t>
      </w:r>
    </w:p>
    <w:p w:rsidR="00000000" w:rsidRPr="00073199" w:rsidP="00073199">
      <w:pPr>
        <w:pStyle w:val="Heading1"/>
      </w:pPr>
      <w:bookmarkStart w:id="1" w:name="O_993091"/>
      <w:bookmarkEnd w:id="1"/>
      <w:r w:rsidRPr="000731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73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99" w:rsidP="00073199">
            <w:pPr>
              <w:pStyle w:val="BodyText"/>
            </w:pPr>
            <w:r w:rsidRPr="0007319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99">
            <w:pPr>
              <w:pStyle w:val="BodyText"/>
              <w:rPr>
                <w:lang w:val="en-NZ"/>
              </w:rPr>
            </w:pPr>
            <w:r w:rsidRPr="00073199">
              <w:rPr>
                <w:rStyle w:val="SpecialBold"/>
              </w:rPr>
              <w:t>Comments</w:t>
            </w:r>
          </w:p>
        </w:tc>
      </w:tr>
      <w:tr w:rsidTr="00073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99">
            <w:pPr>
              <w:pStyle w:val="BodyText"/>
              <w:rPr>
                <w:lang w:val="en-NZ"/>
              </w:rPr>
            </w:pPr>
            <w:r w:rsidRPr="0007319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99" w:rsidP="00073199">
            <w:pPr>
              <w:pStyle w:val="BodyText"/>
            </w:pPr>
            <w:r w:rsidRPr="00073199">
              <w:t>This version released with the FBP Food, Beverage and Pharmaceutical Training Package Version 2.0.</w:t>
            </w:r>
          </w:p>
        </w:tc>
      </w:tr>
    </w:tbl>
    <w:p w:rsidR="00CE71ED" w:rsidP="00073199">
      <w:pPr>
        <w:pStyle w:val="BodyText"/>
      </w:pPr>
    </w:p>
    <w:p w:rsidR="00CE71ED" w:rsidP="00073199">
      <w:pPr>
        <w:pStyle w:val="BodyText"/>
      </w:pPr>
    </w:p>
    <w:p w:rsidR="00000000" w:rsidRPr="00073199" w:rsidP="00073199">
      <w:pPr>
        <w:pStyle w:val="Heading1"/>
      </w:pPr>
      <w:bookmarkStart w:id="2" w:name="O_993092"/>
      <w:bookmarkEnd w:id="2"/>
      <w:r w:rsidRPr="00073199">
        <w:t>Performance Evidence</w:t>
      </w:r>
    </w:p>
    <w:p w:rsidR="00000000" w:rsidRPr="00073199" w:rsidP="00CE71ED">
      <w:pPr>
        <w:pStyle w:val="BodyText"/>
      </w:pPr>
      <w:r w:rsidRPr="00073199">
        <w:t>An individual demonstrating competency in this unit must satisfy all of the elements and performance criteria of thi</w:t>
      </w:r>
      <w:r w:rsidRPr="00073199">
        <w:t xml:space="preserve">s unit. </w:t>
      </w:r>
    </w:p>
    <w:p w:rsidR="00000000" w:rsidRPr="00073199" w:rsidP="00CE71ED">
      <w:pPr>
        <w:pStyle w:val="BodyText"/>
      </w:pPr>
      <w:r w:rsidRPr="00073199">
        <w:t>There must be evidence that the individual has actively participated in a minimum of one audit of a food safety program of a commercial bivalve mollusc growing, harvesting and processing operation, including:</w:t>
      </w:r>
    </w:p>
    <w:p w:rsidR="00000000" w:rsidRPr="00073199" w:rsidP="00073199">
      <w:pPr>
        <w:pStyle w:val="ListBullet"/>
      </w:pPr>
      <w:r w:rsidRPr="00073199">
        <w:t>documenting evidence that details th</w:t>
      </w:r>
      <w:r w:rsidRPr="00073199">
        <w:t>e review of the processor</w:t>
      </w:r>
      <w:r>
        <w:t>’</w:t>
      </w:r>
      <w:r w:rsidRPr="00073199">
        <w:t>s hazard analysis critical control point (HACCP) plan to determine if the critical control points (CCPs) are correctly identified, valid, adequately monitored and verified.</w:t>
      </w:r>
    </w:p>
    <w:p w:rsidR="00000000" w:rsidRPr="00073199" w:rsidP="00073199">
      <w:pPr>
        <w:pStyle w:val="BodyText"/>
      </w:pPr>
    </w:p>
    <w:p w:rsidR="00000000" w:rsidRPr="00073199" w:rsidP="00CE71ED">
      <w:pPr>
        <w:pStyle w:val="BodyText"/>
      </w:pPr>
      <w:r w:rsidRPr="00073199">
        <w:t>Individuals must also show evidence of completing audit scenarios that include at least one audit involving relaying depuration and wet storage.</w:t>
      </w:r>
    </w:p>
    <w:p w:rsidR="00000000" w:rsidRPr="00073199" w:rsidP="00073199">
      <w:pPr>
        <w:pStyle w:val="Heading1"/>
      </w:pPr>
      <w:bookmarkStart w:id="3" w:name="O_993093"/>
      <w:bookmarkEnd w:id="3"/>
      <w:r w:rsidRPr="00073199">
        <w:t>Knowledge Evidence</w:t>
      </w:r>
    </w:p>
    <w:p w:rsidR="00000000" w:rsidRPr="00073199" w:rsidP="00CE71ED">
      <w:pPr>
        <w:pStyle w:val="BodyText"/>
      </w:pPr>
      <w:r w:rsidRPr="00073199">
        <w:t>An individual must be able to demonstrate the knowledge required to perform</w:t>
      </w:r>
      <w:r w:rsidRPr="00073199">
        <w:t xml:space="preserve"> the tasks outlined in the elements and performance criteria of this unit. This includes knowledge of:</w:t>
      </w:r>
    </w:p>
    <w:p w:rsidR="00000000" w:rsidRPr="00073199" w:rsidP="00073199">
      <w:pPr>
        <w:pStyle w:val="ListBullet"/>
      </w:pPr>
      <w:r w:rsidRPr="00073199">
        <w:t>regulations, codes of practice, guidelines and Australian standards relating to production of bivalve molluscs and related role of government in oversee</w:t>
      </w:r>
      <w:r w:rsidRPr="00073199">
        <w:t>ing implementation of shellfish quality programs</w:t>
      </w:r>
    </w:p>
    <w:p w:rsidR="00000000" w:rsidRPr="00073199" w:rsidP="00073199">
      <w:pPr>
        <w:pStyle w:val="ListBullet"/>
      </w:pPr>
      <w:r w:rsidRPr="00073199">
        <w:t>relevant sections of the Australia New Zealand Food Standards Code</w:t>
      </w:r>
    </w:p>
    <w:p w:rsidR="00000000" w:rsidRPr="00073199" w:rsidP="00073199">
      <w:pPr>
        <w:pStyle w:val="ListBullet"/>
      </w:pPr>
      <w:r w:rsidRPr="00073199">
        <w:t>basic biology and physiology of bivalve molluscs and related sources of food safety risk</w:t>
      </w:r>
    </w:p>
    <w:p w:rsidR="00000000" w:rsidRPr="00073199" w:rsidP="00073199">
      <w:pPr>
        <w:pStyle w:val="ListBullet"/>
      </w:pPr>
      <w:r w:rsidRPr="00073199">
        <w:t>pathogens that can occur in bivalve molluscs and re</w:t>
      </w:r>
      <w:r w:rsidRPr="00073199">
        <w:t>lated survival and growth characteristics and control methods, including:</w:t>
      </w:r>
    </w:p>
    <w:p w:rsidR="00000000" w:rsidRPr="00073199" w:rsidP="00073199">
      <w:pPr>
        <w:pStyle w:val="ListBullet2"/>
      </w:pPr>
      <w:r w:rsidRPr="00073199">
        <w:t>hepatitis A virus</w:t>
      </w:r>
    </w:p>
    <w:p w:rsidR="00000000" w:rsidRPr="00073199" w:rsidP="00073199">
      <w:pPr>
        <w:pStyle w:val="ListBullet2"/>
      </w:pPr>
      <w:r w:rsidRPr="00073199">
        <w:t>Norwalk virus</w:t>
      </w:r>
    </w:p>
    <w:p w:rsidR="00000000" w:rsidRPr="00073199" w:rsidP="00073199">
      <w:pPr>
        <w:pStyle w:val="ListBullet2"/>
      </w:pPr>
      <w:r w:rsidRPr="00073199">
        <w:t>Vibrio parahaemolyticus </w:t>
      </w:r>
    </w:p>
    <w:p w:rsidR="00000000" w:rsidRPr="00073199" w:rsidP="00073199">
      <w:pPr>
        <w:pStyle w:val="ListBullet2"/>
      </w:pPr>
      <w:r w:rsidRPr="00073199">
        <w:t>Vibrio vulnificus </w:t>
      </w:r>
    </w:p>
    <w:p w:rsidR="00000000" w:rsidRPr="00073199" w:rsidP="00073199">
      <w:pPr>
        <w:pStyle w:val="ListBullet2"/>
      </w:pPr>
      <w:r w:rsidRPr="00073199">
        <w:t>Salmonella spp </w:t>
      </w:r>
    </w:p>
    <w:p w:rsidR="00000000" w:rsidRPr="00073199" w:rsidP="00073199">
      <w:pPr>
        <w:pStyle w:val="ListBullet2"/>
      </w:pPr>
      <w:r w:rsidRPr="00073199">
        <w:t>pathogenic Escherichia coli</w:t>
      </w:r>
    </w:p>
    <w:p w:rsidR="00000000" w:rsidRPr="00073199" w:rsidP="00073199">
      <w:pPr>
        <w:pStyle w:val="ListBullet2"/>
      </w:pPr>
      <w:r w:rsidRPr="00073199">
        <w:t>listeria monocytogenes (in ready-to-eat seafood)</w:t>
      </w:r>
    </w:p>
    <w:p w:rsidR="00000000" w:rsidRPr="00073199" w:rsidP="00073199">
      <w:pPr>
        <w:pStyle w:val="ListBullet"/>
      </w:pPr>
      <w:r w:rsidRPr="00073199">
        <w:t>chemicals that pose a food safety risk in bivalve molluscs, including:</w:t>
      </w:r>
    </w:p>
    <w:p w:rsidR="00000000" w:rsidRPr="00073199" w:rsidP="00073199">
      <w:pPr>
        <w:pStyle w:val="ListBullet2"/>
      </w:pPr>
      <w:r w:rsidRPr="00073199">
        <w:t>phycotoxins: harmful algal blooms, such as amnesic shellfish poisoning (ASP), neurotoxic shellfish poisoning (NSP), diarrhetic shellfish poisoning (DSP) and paralytic shellfish poisoni</w:t>
      </w:r>
      <w:r w:rsidRPr="00073199">
        <w:t>ng (PSP)</w:t>
      </w:r>
    </w:p>
    <w:p w:rsidR="00000000" w:rsidRPr="00073199" w:rsidP="00073199">
      <w:pPr>
        <w:pStyle w:val="ListBullet2"/>
      </w:pPr>
      <w:r w:rsidRPr="00073199">
        <w:t>pesticides</w:t>
      </w:r>
    </w:p>
    <w:p w:rsidR="00000000" w:rsidRPr="00073199" w:rsidP="00073199">
      <w:pPr>
        <w:pStyle w:val="ListBullet2"/>
      </w:pPr>
      <w:r w:rsidRPr="00073199">
        <w:t>water additives</w:t>
      </w:r>
    </w:p>
    <w:p w:rsidR="00000000" w:rsidRPr="00073199" w:rsidP="00073199">
      <w:pPr>
        <w:pStyle w:val="ListBullet2"/>
      </w:pPr>
      <w:r w:rsidRPr="00073199">
        <w:t>toxic metals</w:t>
      </w:r>
    </w:p>
    <w:p w:rsidR="00000000" w:rsidRPr="00073199" w:rsidP="00073199">
      <w:pPr>
        <w:pStyle w:val="ListBullet2"/>
      </w:pPr>
      <w:r w:rsidRPr="00073199">
        <w:t>polychlorinated biphenyls (PCBs)</w:t>
      </w:r>
    </w:p>
    <w:p w:rsidR="00000000" w:rsidRPr="00073199" w:rsidP="00073199">
      <w:pPr>
        <w:pStyle w:val="ListBullet"/>
      </w:pPr>
      <w:r w:rsidRPr="00073199">
        <w:t>sources of environmental contamination that can present a food safety risk in the growing and harvesting of bivalve molluscs, and related food safety controls, including ris</w:t>
      </w:r>
      <w:r w:rsidRPr="00073199">
        <w:t>ks associated with both on-shore and wild fisheries</w:t>
      </w:r>
    </w:p>
    <w:p w:rsidR="00000000" w:rsidRPr="00073199" w:rsidP="00073199">
      <w:pPr>
        <w:pStyle w:val="ListBullet"/>
      </w:pPr>
      <w:r w:rsidRPr="00073199">
        <w:t>sources of information on acceptable and legal product quality requirements, including legal limits to ensure product safety</w:t>
      </w:r>
    </w:p>
    <w:p w:rsidR="00000000" w:rsidRPr="00073199" w:rsidP="00073199">
      <w:pPr>
        <w:pStyle w:val="ListBullet"/>
      </w:pPr>
      <w:r w:rsidRPr="00073199">
        <w:t>classifications applying to harvesting areas, system for monitoring and determi</w:t>
      </w:r>
      <w:r w:rsidRPr="00073199">
        <w:t>ning status, sources of advice on classification and methods of communicating classification information</w:t>
      </w:r>
    </w:p>
    <w:p w:rsidR="00000000" w:rsidRPr="00073199" w:rsidP="00073199">
      <w:pPr>
        <w:pStyle w:val="ListBullet"/>
      </w:pPr>
      <w:r w:rsidRPr="00073199">
        <w:t>sources of pre- and post-harvest contamination, and related control requirements</w:t>
      </w:r>
    </w:p>
    <w:p w:rsidR="00000000" w:rsidRPr="00073199" w:rsidP="00073199">
      <w:pPr>
        <w:pStyle w:val="ListBullet"/>
      </w:pPr>
      <w:r w:rsidRPr="00073199">
        <w:t>risks and related control methods to prevent cross-contamination, incl</w:t>
      </w:r>
      <w:r w:rsidRPr="00073199">
        <w:t>uding sorting and cleaning</w:t>
      </w:r>
    </w:p>
    <w:p w:rsidR="00000000" w:rsidRPr="00073199" w:rsidP="00073199">
      <w:pPr>
        <w:pStyle w:val="ListBullet"/>
      </w:pPr>
      <w:r w:rsidRPr="00073199">
        <w:t>prerequisite programs required to support bivalve mollusc growing and harvesting</w:t>
      </w:r>
    </w:p>
    <w:p w:rsidR="00000000" w:rsidRPr="00073199" w:rsidP="00073199">
      <w:pPr>
        <w:pStyle w:val="ListBullet"/>
      </w:pPr>
      <w:r w:rsidRPr="00073199">
        <w:t>basic principles of water sampling and test methods</w:t>
      </w:r>
    </w:p>
    <w:p w:rsidR="00000000" w:rsidRPr="00073199" w:rsidP="00073199">
      <w:pPr>
        <w:pStyle w:val="ListBullet"/>
      </w:pPr>
      <w:r w:rsidRPr="00073199">
        <w:t>principles and associated control measures relating to effective purging of shellfish, including methods, including relaying and depuration, when practised according to state and territory legal and regulatory requirements</w:t>
      </w:r>
    </w:p>
    <w:p w:rsidR="00000000" w:rsidRPr="00073199" w:rsidP="00073199">
      <w:pPr>
        <w:pStyle w:val="ListBullet"/>
      </w:pPr>
      <w:r w:rsidRPr="00073199">
        <w:t xml:space="preserve">risks associated with depuration </w:t>
      </w:r>
      <w:r w:rsidRPr="00073199">
        <w:t>and wet storage methods, and related control methods and prerequisite programs that meet legal requirements</w:t>
      </w:r>
    </w:p>
    <w:p w:rsidR="00000000" w:rsidRPr="00073199" w:rsidP="00073199">
      <w:pPr>
        <w:pStyle w:val="ListBullet"/>
      </w:pPr>
      <w:r w:rsidRPr="00073199">
        <w:t>sources of pre- and post-harvest contamination, including sewage, algal bio-toxins and vibrio organisms and related control requirements</w:t>
      </w:r>
    </w:p>
    <w:p w:rsidR="00000000" w:rsidRPr="00073199" w:rsidP="00073199">
      <w:pPr>
        <w:pStyle w:val="ListBullet"/>
      </w:pPr>
      <w:r w:rsidRPr="00073199">
        <w:t>stock handl</w:t>
      </w:r>
      <w:r w:rsidRPr="00073199">
        <w:t>ing and storage risks and control methods</w:t>
      </w:r>
    </w:p>
    <w:p w:rsidR="00000000" w:rsidRPr="00073199" w:rsidP="00073199">
      <w:pPr>
        <w:pStyle w:val="ListBullet"/>
      </w:pPr>
      <w:r w:rsidRPr="00073199">
        <w:t>facilities and equipment used in the growing and harvesting of bivalve molluscs, including features required to meet regulatory requirements.</w:t>
      </w:r>
    </w:p>
    <w:p w:rsidR="00000000" w:rsidRPr="00073199" w:rsidP="00073199">
      <w:pPr>
        <w:pStyle w:val="AllowPageBreak"/>
      </w:pPr>
    </w:p>
    <w:p w:rsidR="00000000" w:rsidRPr="00073199" w:rsidP="00073199">
      <w:pPr>
        <w:pStyle w:val="Heading1"/>
      </w:pPr>
      <w:bookmarkStart w:id="4" w:name="O_993094"/>
      <w:bookmarkEnd w:id="4"/>
      <w:r w:rsidRPr="00073199">
        <w:t>Assessment Conditions</w:t>
      </w:r>
    </w:p>
    <w:p w:rsidR="00000000" w:rsidRPr="00073199" w:rsidP="00CE71ED">
      <w:pPr>
        <w:pStyle w:val="BodyText"/>
      </w:pPr>
      <w:r w:rsidRPr="00073199">
        <w:t>Assessment of skills must take pl</w:t>
      </w:r>
      <w:r w:rsidRPr="00073199">
        <w:t xml:space="preserve">ace under the following conditions: </w:t>
      </w:r>
    </w:p>
    <w:p w:rsidR="00000000" w:rsidRPr="00073199" w:rsidP="00073199">
      <w:pPr>
        <w:pStyle w:val="ListBullet"/>
      </w:pPr>
      <w:r w:rsidRPr="00073199">
        <w:t>physical conditions:</w:t>
      </w:r>
    </w:p>
    <w:p w:rsidR="00000000" w:rsidRPr="00073199" w:rsidP="00073199">
      <w:pPr>
        <w:pStyle w:val="ListBullet2"/>
      </w:pPr>
      <w:r w:rsidRPr="00073199">
        <w:t xml:space="preserve">skills must be demonstrated as an individual (not part of a group) in a real workplace </w:t>
      </w:r>
    </w:p>
    <w:p w:rsidR="00000000" w:rsidRPr="00073199" w:rsidP="00073199">
      <w:pPr>
        <w:pStyle w:val="ListBullet"/>
      </w:pPr>
      <w:r w:rsidRPr="00073199">
        <w:t>resources, equipment and materials:</w:t>
      </w:r>
    </w:p>
    <w:p w:rsidR="00000000" w:rsidRPr="00073199" w:rsidP="00073199">
      <w:pPr>
        <w:pStyle w:val="ListBullet2"/>
      </w:pPr>
      <w:r w:rsidRPr="00073199">
        <w:t>food safety programs covering bivalve mollusc growing and harvesting p</w:t>
      </w:r>
      <w:r w:rsidRPr="00073199">
        <w:t>rocesses</w:t>
      </w:r>
    </w:p>
    <w:p w:rsidR="00000000" w:rsidRPr="00073199" w:rsidP="00073199">
      <w:pPr>
        <w:pStyle w:val="ListBullet2"/>
      </w:pPr>
      <w:r w:rsidRPr="00073199">
        <w:t>plant and equipment that would typically be used in a commercial bivalve mollusc growing and harvesting business</w:t>
      </w:r>
    </w:p>
    <w:p w:rsidR="00000000" w:rsidRPr="00073199" w:rsidP="00073199">
      <w:pPr>
        <w:pStyle w:val="ListBullet2"/>
      </w:pPr>
      <w:r w:rsidRPr="00073199">
        <w:t>case studies of audit processes, including one that involves relaying, depuration or wet storage</w:t>
      </w:r>
    </w:p>
    <w:p w:rsidR="00000000" w:rsidRPr="00073199" w:rsidP="00073199">
      <w:pPr>
        <w:pStyle w:val="ListBullet"/>
      </w:pPr>
      <w:r w:rsidRPr="00073199">
        <w:t>specifications:</w:t>
      </w:r>
    </w:p>
    <w:p w:rsidR="00000000" w:rsidRPr="00073199" w:rsidP="00073199">
      <w:pPr>
        <w:pStyle w:val="ListBullet2"/>
      </w:pPr>
      <w:r w:rsidRPr="00073199">
        <w:t>standard and authorised work practices, safety requirements and environmental constraints</w:t>
      </w:r>
    </w:p>
    <w:p w:rsidR="00000000" w:rsidRPr="00073199" w:rsidP="00073199">
      <w:pPr>
        <w:pStyle w:val="ListBullet2"/>
      </w:pPr>
      <w:r w:rsidRPr="00073199">
        <w:t>food safety-related documentation typical of commercial growing and harvesting businesses and used for the purpose of verification.</w:t>
      </w:r>
    </w:p>
    <w:p w:rsidR="00000000" w:rsidRPr="00073199" w:rsidP="00CE71ED">
      <w:pPr>
        <w:pStyle w:val="BodyText"/>
      </w:pPr>
      <w:r w:rsidRPr="00073199">
        <w:t>Assessors of this unit must satisf</w:t>
      </w:r>
      <w:r w:rsidRPr="00073199">
        <w:t>y the requirements for assessors in applicable vocational education and training legislation, frameworks and/or standards.</w:t>
      </w:r>
    </w:p>
    <w:p w:rsidR="00000000" w:rsidRPr="00073199" w:rsidP="00073199">
      <w:pPr>
        <w:pStyle w:val="Heading1"/>
      </w:pPr>
      <w:bookmarkStart w:id="5" w:name="O_993097"/>
      <w:bookmarkEnd w:id="5"/>
      <w:r w:rsidRPr="00073199">
        <w:t>Links</w:t>
      </w:r>
    </w:p>
    <w:p w:rsidR="00000000" w:rsidRPr="00073199" w:rsidP="00CE71ED">
      <w:pPr>
        <w:pStyle w:val="BodyText"/>
      </w:pPr>
      <w:r w:rsidRPr="0007319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34AE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73199" w:rsidP="00073199"/>
    <w:sectPr w:rsidSect="000731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99" w:rsidRPr="00CE71ED" w:rsidP="00CE7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ED" w:rsidP="00073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1ED" w:rsidP="00073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71ED" w:rsidP="00073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199" w:rsidRPr="00CE71ED" w:rsidP="00CE7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ED" w:rsidRPr="002D2AF8" w:rsidP="00073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FBPAUD5001 Audit bivalve mollusc growing and harvesting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E71ED" w:rsidP="00073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83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CAF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A5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199"/>
  </w:style>
  <w:style w:type="character" w:customStyle="1" w:styleId="Heading1Char">
    <w:name w:val="Heading 1 Char"/>
    <w:basedOn w:val="DefaultParagraphFont"/>
    <w:link w:val="Heading1"/>
    <w:rsid w:val="00073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1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1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199"/>
    <w:rPr>
      <w:b/>
      <w:spacing w:val="0"/>
    </w:rPr>
  </w:style>
  <w:style w:type="paragraph" w:styleId="ListBullet2">
    <w:name w:val="List Bullet 2"/>
    <w:basedOn w:val="List2"/>
    <w:rsid w:val="000731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3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1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1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1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199"/>
    <w:rPr>
      <w:i/>
    </w:rPr>
  </w:style>
  <w:style w:type="paragraph" w:styleId="Caption">
    <w:name w:val="caption"/>
    <w:basedOn w:val="BodyText"/>
    <w:next w:val="Normal"/>
    <w:qFormat/>
    <w:rsid w:val="00073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199"/>
  </w:style>
  <w:style w:type="paragraph" w:styleId="TableofFigures">
    <w:name w:val="table of figures"/>
    <w:basedOn w:val="Normal"/>
    <w:next w:val="Normal"/>
    <w:semiHidden/>
    <w:rsid w:val="00073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1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3199"/>
    <w:rPr>
      <w:rFonts w:ascii="Wingdings" w:hAnsi="Wingdings"/>
    </w:rPr>
  </w:style>
  <w:style w:type="paragraph" w:customStyle="1" w:styleId="TableHeading">
    <w:name w:val="Table Heading"/>
    <w:basedOn w:val="HeadingBase"/>
    <w:rsid w:val="00073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199"/>
    <w:rPr>
      <w:color w:val="0033CC"/>
      <w:u w:val="none"/>
    </w:rPr>
  </w:style>
  <w:style w:type="paragraph" w:customStyle="1" w:styleId="BodyTextRight">
    <w:name w:val="Body Text Right"/>
    <w:basedOn w:val="BodyText"/>
    <w:rsid w:val="00073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1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199"/>
    <w:rPr>
      <w:sz w:val="32"/>
    </w:rPr>
  </w:style>
  <w:style w:type="paragraph" w:customStyle="1" w:styleId="HeadingProcedure">
    <w:name w:val="Heading Procedure"/>
    <w:basedOn w:val="HeadingBase"/>
    <w:next w:val="Normal"/>
    <w:rsid w:val="00073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199"/>
    <w:pPr>
      <w:spacing w:before="60" w:after="60"/>
    </w:pPr>
  </w:style>
  <w:style w:type="paragraph" w:styleId="ListContinue">
    <w:name w:val="List Continue"/>
    <w:basedOn w:val="List"/>
    <w:rsid w:val="00073199"/>
    <w:pPr>
      <w:ind w:firstLine="0"/>
    </w:pPr>
  </w:style>
  <w:style w:type="paragraph" w:customStyle="1" w:styleId="ListNote">
    <w:name w:val="List Note"/>
    <w:basedOn w:val="List"/>
    <w:rsid w:val="00073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199"/>
    <w:rPr>
      <w:rFonts w:ascii="Courier New" w:hAnsi="Courier New"/>
    </w:rPr>
  </w:style>
  <w:style w:type="paragraph" w:customStyle="1" w:styleId="NoteBullet">
    <w:name w:val="Note Bullet"/>
    <w:basedOn w:val="Note"/>
    <w:rsid w:val="00073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1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199"/>
    <w:rPr>
      <w:b/>
      <w:smallCaps/>
    </w:rPr>
  </w:style>
  <w:style w:type="paragraph" w:customStyle="1" w:styleId="TableListNumber">
    <w:name w:val="Table List Number"/>
    <w:basedOn w:val="ListNumber"/>
    <w:rsid w:val="00073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199"/>
    <w:pPr>
      <w:numPr>
        <w:numId w:val="9"/>
      </w:numPr>
    </w:pPr>
  </w:style>
  <w:style w:type="paragraph" w:customStyle="1" w:styleId="ListAlpha2">
    <w:name w:val="List Alpha 2"/>
    <w:basedOn w:val="List2"/>
    <w:rsid w:val="00073199"/>
    <w:pPr>
      <w:numPr>
        <w:numId w:val="8"/>
      </w:numPr>
    </w:pPr>
  </w:style>
  <w:style w:type="paragraph" w:styleId="List2">
    <w:name w:val="List 2"/>
    <w:basedOn w:val="BodyText"/>
    <w:rsid w:val="00073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1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1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3199"/>
    <w:pPr>
      <w:numPr>
        <w:numId w:val="4"/>
      </w:numPr>
    </w:pPr>
  </w:style>
  <w:style w:type="paragraph" w:styleId="ListContinue2">
    <w:name w:val="List Continue 2"/>
    <w:basedOn w:val="List2"/>
    <w:rsid w:val="00073199"/>
    <w:pPr>
      <w:ind w:firstLine="0"/>
    </w:pPr>
  </w:style>
  <w:style w:type="paragraph" w:styleId="ListContinue3">
    <w:name w:val="List Continue 3"/>
    <w:basedOn w:val="List3"/>
    <w:rsid w:val="00073199"/>
    <w:pPr>
      <w:ind w:left="1021" w:firstLine="0"/>
    </w:pPr>
  </w:style>
  <w:style w:type="paragraph" w:styleId="ListContinue4">
    <w:name w:val="List Continue 4"/>
    <w:basedOn w:val="List4"/>
    <w:rsid w:val="00073199"/>
    <w:pPr>
      <w:ind w:firstLine="0"/>
    </w:pPr>
  </w:style>
  <w:style w:type="paragraph" w:styleId="ListContinue5">
    <w:name w:val="List Continue 5"/>
    <w:basedOn w:val="List5"/>
    <w:rsid w:val="00073199"/>
    <w:pPr>
      <w:ind w:firstLine="0"/>
    </w:pPr>
  </w:style>
  <w:style w:type="paragraph" w:styleId="ListNumber3">
    <w:name w:val="List Number 3"/>
    <w:basedOn w:val="List3"/>
    <w:rsid w:val="00073199"/>
    <w:pPr>
      <w:numPr>
        <w:numId w:val="5"/>
      </w:numPr>
    </w:pPr>
  </w:style>
  <w:style w:type="paragraph" w:styleId="ListNumber4">
    <w:name w:val="List Number 4"/>
    <w:basedOn w:val="List4"/>
    <w:rsid w:val="00073199"/>
    <w:pPr>
      <w:numPr>
        <w:numId w:val="6"/>
      </w:numPr>
    </w:pPr>
  </w:style>
  <w:style w:type="paragraph" w:styleId="ListNumber5">
    <w:name w:val="List Number 5"/>
    <w:basedOn w:val="List5"/>
    <w:rsid w:val="00073199"/>
    <w:pPr>
      <w:numPr>
        <w:numId w:val="7"/>
      </w:numPr>
    </w:pPr>
  </w:style>
  <w:style w:type="paragraph" w:styleId="BlockText">
    <w:name w:val="Block Text"/>
    <w:basedOn w:val="Normal"/>
    <w:rsid w:val="00073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199"/>
    <w:rPr>
      <w:sz w:val="16"/>
      <w:vertAlign w:val="superscript"/>
    </w:rPr>
  </w:style>
  <w:style w:type="character" w:customStyle="1" w:styleId="Symbols">
    <w:name w:val="Symbols"/>
    <w:basedOn w:val="DefaultParagraphFont"/>
    <w:rsid w:val="00073199"/>
    <w:rPr>
      <w:rFonts w:ascii="Symbol" w:hAnsi="Symbol"/>
    </w:rPr>
  </w:style>
  <w:style w:type="character" w:customStyle="1" w:styleId="MenuOptions">
    <w:name w:val="Menu Options"/>
    <w:basedOn w:val="DefaultParagraphFont"/>
    <w:rsid w:val="00073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199"/>
    <w:rPr>
      <w:b/>
    </w:rPr>
  </w:style>
  <w:style w:type="character" w:customStyle="1" w:styleId="Underlined">
    <w:name w:val="Underlined"/>
    <w:basedOn w:val="DefaultParagraphFont"/>
    <w:rsid w:val="00073199"/>
    <w:rPr>
      <w:u w:val="single"/>
    </w:rPr>
  </w:style>
  <w:style w:type="paragraph" w:customStyle="1" w:styleId="TableBodyTextRight">
    <w:name w:val="Table Body Text Right"/>
    <w:basedOn w:val="TableBodyText"/>
    <w:rsid w:val="00073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199"/>
    <w:rPr>
      <w:sz w:val="18"/>
    </w:rPr>
  </w:style>
  <w:style w:type="paragraph" w:customStyle="1" w:styleId="BodySmallRight">
    <w:name w:val="Body Small Right"/>
    <w:basedOn w:val="BodyTextRight"/>
    <w:rsid w:val="00073199"/>
    <w:rPr>
      <w:sz w:val="18"/>
      <w:szCs w:val="18"/>
    </w:rPr>
  </w:style>
  <w:style w:type="paragraph" w:customStyle="1" w:styleId="MarginEdition">
    <w:name w:val="Margin Edition"/>
    <w:basedOn w:val="MarginNote"/>
    <w:rsid w:val="00073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199"/>
    <w:rPr>
      <w:sz w:val="2"/>
      <w:szCs w:val="2"/>
    </w:rPr>
  </w:style>
  <w:style w:type="character" w:customStyle="1" w:styleId="Small">
    <w:name w:val="Small"/>
    <w:basedOn w:val="DefaultParagraphFont"/>
    <w:rsid w:val="00073199"/>
    <w:rPr>
      <w:sz w:val="16"/>
    </w:rPr>
  </w:style>
  <w:style w:type="paragraph" w:customStyle="1" w:styleId="WideTable">
    <w:name w:val="Wide Table"/>
    <w:basedOn w:val="Normal"/>
    <w:rsid w:val="00073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199"/>
  </w:style>
  <w:style w:type="paragraph" w:styleId="Quote">
    <w:name w:val="Quote"/>
    <w:basedOn w:val="Heading1"/>
    <w:link w:val="QuoteChar"/>
    <w:qFormat/>
    <w:rsid w:val="00073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199"/>
    <w:pPr>
      <w:pageBreakBefore/>
    </w:pPr>
  </w:style>
  <w:style w:type="paragraph" w:customStyle="1" w:styleId="Border">
    <w:name w:val="Border"/>
    <w:basedOn w:val="Normal"/>
    <w:qFormat/>
    <w:rsid w:val="00073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199"/>
    <w:rPr>
      <w:u w:val="single"/>
    </w:rPr>
  </w:style>
  <w:style w:type="character" w:customStyle="1" w:styleId="BoldandItalics">
    <w:name w:val="Bold and Italics"/>
    <w:qFormat/>
    <w:rsid w:val="00073199"/>
    <w:rPr>
      <w:b/>
      <w:i/>
      <w:u w:val="none"/>
    </w:rPr>
  </w:style>
  <w:style w:type="paragraph" w:styleId="BalloonText">
    <w:name w:val="Balloon Text"/>
    <w:basedOn w:val="Normal"/>
    <w:link w:val="BalloonTextChar"/>
    <w:rsid w:val="00073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199"/>
    <w:pPr>
      <w:spacing w:before="0" w:after="0"/>
    </w:pPr>
  </w:style>
  <w:style w:type="paragraph" w:customStyle="1" w:styleId="BodyTextBold">
    <w:name w:val="Body Text Bold"/>
    <w:basedOn w:val="BodyText"/>
    <w:qFormat/>
    <w:rsid w:val="00073199"/>
    <w:rPr>
      <w:b/>
    </w:rPr>
  </w:style>
  <w:style w:type="character" w:styleId="Hyperlink">
    <w:name w:val="Hyperlink"/>
    <w:basedOn w:val="DefaultParagraphFont"/>
    <w:uiPriority w:val="99"/>
    <w:unhideWhenUsed/>
    <w:rsid w:val="00CE7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4394</Characters>
  <Application>Microsoft Office Word</Application>
  <DocSecurity>0</DocSecurity>
  <Lines>102</Lines>
  <Paragraphs>68</Paragraphs>
  <ScaleCrop>false</ScaleCrop>
  <Company>Author-it Software Corporation Ltd.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FBPAUD5001 Audit bivalve mollusc growing and harvesting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2022-04-19T18:09:00Z</dcterms:created>
  <dcterms:modified xsi:type="dcterms:W3CDTF">2022-04-19T18:09:00Z</dcterms:modified>
</cp:coreProperties>
</file>