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BAF" w:rsidP="00400B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FBPAUD4002 Communicate and negotiate to conduct food safety audits</w:t>
      </w:r>
      <w:r>
        <w:fldChar w:fldCharType="end"/>
      </w:r>
    </w:p>
    <w:p w:rsidR="00400BAF" w:rsidP="00400BAF">
      <w:pPr>
        <w:pStyle w:val="Version"/>
        <w:sectPr w:rsidSect="00A02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BEC" w:rsidP="00A02BEC">
      <w:pPr>
        <w:pStyle w:val="SuperHeading"/>
      </w:pPr>
      <w:r w:rsidRPr="00A02BEC">
        <w:t>FBPAUD4002 Communicate and negotiate to conduct food safety audits</w:t>
      </w:r>
    </w:p>
    <w:p w:rsidR="00000000" w:rsidRPr="00A02BEC" w:rsidP="00A02BEC">
      <w:pPr>
        <w:pStyle w:val="Heading1"/>
      </w:pPr>
      <w:bookmarkStart w:id="1" w:name="O_993024"/>
      <w:bookmarkEnd w:id="1"/>
      <w:r w:rsidRPr="00A02B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rPr>
                <w:rStyle w:val="SpecialBold"/>
              </w:rPr>
              <w:t>Comments</w:t>
            </w:r>
          </w:p>
        </w:tc>
      </w:tr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t>This version released with the FBP Food, Beverage and Pharmaceutical Training Package Version 2.0.</w:t>
            </w:r>
          </w:p>
        </w:tc>
      </w:tr>
    </w:tbl>
    <w:p w:rsidR="00000000" w:rsidRPr="00A02BEC" w:rsidP="00A02BEC">
      <w:pPr>
        <w:pStyle w:val="BodyText"/>
      </w:pPr>
    </w:p>
    <w:p w:rsidR="00000000" w:rsidRPr="00A02BEC" w:rsidP="00A02BEC">
      <w:pPr>
        <w:pStyle w:val="AllowPageBreak"/>
      </w:pPr>
    </w:p>
    <w:p w:rsidR="00000000" w:rsidRPr="00A02BEC" w:rsidP="00A02BEC">
      <w:pPr>
        <w:pStyle w:val="Heading1"/>
      </w:pPr>
      <w:bookmarkStart w:id="2" w:name="O_993025"/>
      <w:bookmarkEnd w:id="2"/>
      <w:r w:rsidRPr="00A02BEC">
        <w:t>Application</w:t>
      </w:r>
    </w:p>
    <w:p w:rsidR="00000000" w:rsidRPr="00A02BEC" w:rsidP="00400BAF">
      <w:pPr>
        <w:pStyle w:val="BodyText"/>
      </w:pPr>
      <w:r w:rsidRPr="00A02BEC">
        <w:t>This unit of competency describes the skills and knowledge required to select and use appropriate methods of communication and negotiation to support audit processes.</w:t>
      </w:r>
    </w:p>
    <w:p w:rsidR="00000000" w:rsidRPr="00A02BEC" w:rsidP="00400BAF">
      <w:pPr>
        <w:pStyle w:val="BodyText"/>
      </w:pPr>
      <w:r w:rsidRPr="00A02BEC">
        <w:t>This unit applies to individuals who undertake regulatory, commercial or inte</w:t>
      </w:r>
      <w:r w:rsidRPr="00A02BEC">
        <w:t>rnal audits. This includes taking responsibility for their own work and providing and communicating solutions to a range of predictable and sometimes unpredictable problems.</w:t>
      </w:r>
    </w:p>
    <w:p w:rsidR="00000000" w:rsidRPr="00A02BEC" w:rsidP="00400BAF">
      <w:pPr>
        <w:pStyle w:val="BodyText"/>
      </w:pPr>
      <w:r w:rsidRPr="00A02BEC">
        <w:t xml:space="preserve">This unit supports relevant legislation, including food standards included in the </w:t>
      </w:r>
      <w:r w:rsidRPr="00A02BEC">
        <w:t>Australia New Zealand Food Standards Code, industry codes of practice relating to validation and verification of a food safety program, and the audit requirements detailed in the National Regulatory Food Safety Auditor Guideline and Policy, and should be r</w:t>
      </w:r>
      <w:r w:rsidRPr="00A02BEC">
        <w:t>ead in conjunction with these documents.</w:t>
      </w:r>
    </w:p>
    <w:p w:rsidR="00000000" w:rsidRPr="00A02BEC" w:rsidP="00400BAF">
      <w:pPr>
        <w:pStyle w:val="BodyText"/>
      </w:pPr>
      <w:r w:rsidRPr="00A02BEC">
        <w:t>Regulatory food safety audits in Australia are covered by state/territory legislative frameworks that support the requirements of the National Food Safety Audit Policy 2009.</w:t>
      </w:r>
    </w:p>
    <w:p w:rsidR="00000000" w:rsidRPr="00A02BEC" w:rsidP="00A02BEC">
      <w:pPr>
        <w:pStyle w:val="Heading1"/>
      </w:pPr>
      <w:bookmarkStart w:id="3" w:name="O_993026"/>
      <w:bookmarkEnd w:id="3"/>
      <w:r w:rsidRPr="00A02BEC">
        <w:t>Pre-requisite Unit</w:t>
      </w:r>
    </w:p>
    <w:p w:rsidR="00000000" w:rsidRPr="00A02BEC" w:rsidP="00400BAF">
      <w:pPr>
        <w:pStyle w:val="BodyText"/>
      </w:pPr>
      <w:r w:rsidRPr="00A02BEC">
        <w:t>Nil</w:t>
      </w:r>
    </w:p>
    <w:p w:rsidR="00000000" w:rsidRPr="00A02BEC" w:rsidP="00A02BEC">
      <w:pPr>
        <w:pStyle w:val="Heading1"/>
      </w:pPr>
      <w:bookmarkStart w:id="4" w:name="O_993028"/>
      <w:bookmarkEnd w:id="4"/>
      <w:r w:rsidRPr="00A02BEC">
        <w:t>Unit Sector</w:t>
      </w:r>
    </w:p>
    <w:p w:rsidR="00000000" w:rsidRPr="00A02BEC" w:rsidP="00400BAF">
      <w:pPr>
        <w:pStyle w:val="BodyText"/>
      </w:pPr>
      <w:r w:rsidRPr="00A02BEC">
        <w:t>Food safety auditing (AUD)</w:t>
      </w:r>
    </w:p>
    <w:p w:rsidR="00000000" w:rsidRPr="00A02BEC" w:rsidP="00A02BEC">
      <w:pPr>
        <w:pStyle w:val="Heading1"/>
      </w:pPr>
      <w:bookmarkStart w:id="5" w:name="O_993029"/>
      <w:bookmarkEnd w:id="5"/>
      <w:r w:rsidRPr="00A02B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0B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rPr>
                <w:rStyle w:val="SpecialBold"/>
              </w:rPr>
              <w:t>Performance Criteria</w:t>
            </w:r>
          </w:p>
        </w:tc>
      </w:tr>
      <w:tr w:rsidTr="00400B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0B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1. Develop a communication plan to support audit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t>1.1 Define and agree on scope of audit with client</w:t>
            </w:r>
          </w:p>
          <w:p w:rsidR="00000000" w:rsidRPr="00A02BEC" w:rsidP="00A02BEC">
            <w:pPr>
              <w:pStyle w:val="BodyText"/>
            </w:pPr>
            <w:r w:rsidRPr="00A02BEC">
              <w:t>1.2 Define, communicate and agree on roles and re</w:t>
            </w:r>
            <w:r w:rsidRPr="00A02BEC">
              <w:t xml:space="preserve">sponsibilities of all personnel involved in the audit process, including those for whom English is a second language </w:t>
            </w:r>
          </w:p>
          <w:p w:rsidR="00000000" w:rsidRPr="00A02BEC" w:rsidP="00A02BEC">
            <w:pPr>
              <w:pStyle w:val="BodyText"/>
            </w:pPr>
            <w:r w:rsidRPr="00A02BEC">
              <w:t>1.3 Determine and agree on appropriate communication methods and protocols and specific arrangements, including reporting requirements</w:t>
            </w:r>
          </w:p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1.4</w:t>
            </w:r>
            <w:r w:rsidRPr="00A02BEC">
              <w:t xml:space="preserve"> Document the communication plan </w:t>
            </w:r>
          </w:p>
        </w:tc>
      </w:tr>
      <w:tr w:rsidTr="00400B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2. Select and use appropriate communication methods to conduct 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t>2.1 Select communication methods to take account of system owner and food business requirements, workplace culture and individual differences</w:t>
            </w:r>
          </w:p>
          <w:p w:rsidR="00000000" w:rsidRPr="00A02BEC" w:rsidP="00A02BEC">
            <w:pPr>
              <w:pStyle w:val="BodyText"/>
            </w:pPr>
            <w:r w:rsidRPr="00A02BEC">
              <w:t>2.2 Use appropriate communication methods to establish and maintain effective client relationships</w:t>
            </w:r>
          </w:p>
          <w:p w:rsidR="00000000" w:rsidRPr="00A02BEC" w:rsidP="00A02BEC">
            <w:pPr>
              <w:pStyle w:val="BodyText"/>
            </w:pPr>
            <w:r w:rsidRPr="00A02BEC">
              <w:t>2.3 Interpret information provided by the auditee in the context of the industry sector, language and culture of the business</w:t>
            </w:r>
          </w:p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2.4 Apply communication techniq</w:t>
            </w:r>
            <w:r w:rsidRPr="00A02BEC">
              <w:t xml:space="preserve">ues to encourage all relevant parties to participate and express views throughout audit </w:t>
            </w:r>
          </w:p>
        </w:tc>
      </w:tr>
      <w:tr w:rsidTr="00400B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3. Negotiate to achieve agreement on audit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t>3.1 Identify and clarify areas of disagreement over audit outcomes with the auditee</w:t>
            </w:r>
          </w:p>
          <w:p w:rsidR="00000000" w:rsidRPr="00A02BEC" w:rsidP="00A02BEC">
            <w:pPr>
              <w:pStyle w:val="BodyText"/>
            </w:pPr>
            <w:r w:rsidRPr="00A02BEC">
              <w:t>3.2 Seek understanding on acti</w:t>
            </w:r>
            <w:r w:rsidRPr="00A02BEC">
              <w:t>ons to be followed to resolve outstanding issues</w:t>
            </w:r>
          </w:p>
          <w:p w:rsidR="00000000" w:rsidRPr="00A02BEC" w:rsidP="00A02BEC">
            <w:pPr>
              <w:pStyle w:val="BodyText"/>
            </w:pPr>
            <w:r w:rsidRPr="00A02BEC">
              <w:t>3.3 Treat auditee’s views with respect</w:t>
            </w:r>
          </w:p>
          <w:p w:rsidR="00000000" w:rsidRPr="00A02BEC" w:rsidP="00A02BEC">
            <w:pPr>
              <w:pStyle w:val="BodyText"/>
            </w:pPr>
            <w:r w:rsidRPr="00A02BEC">
              <w:t>3.4 Explore options for resolving differences to reach agreement and meet audit timeline and resource parameters</w:t>
            </w:r>
          </w:p>
          <w:p w:rsidR="00000000" w:rsidRPr="00A02BEC" w:rsidP="00A02BEC">
            <w:pPr>
              <w:pStyle w:val="BodyText"/>
            </w:pPr>
            <w:r w:rsidRPr="00A02BEC">
              <w:t xml:space="preserve">3.5 Explore appropriate issue resolution strategies to </w:t>
            </w:r>
            <w:r w:rsidRPr="00A02BEC">
              <w:t>increase the likelihood of agreement on steps required to conclude the audit</w:t>
            </w:r>
          </w:p>
          <w:p w:rsidR="00000000" w:rsidRPr="00A02BEC" w:rsidP="00A02BEC">
            <w:pPr>
              <w:pStyle w:val="BodyText"/>
            </w:pPr>
            <w:r w:rsidRPr="00A02BEC">
              <w:t>3.6 Manage the negotiation process to maintain constructive client relationships</w:t>
            </w:r>
          </w:p>
          <w:p w:rsidR="00000000" w:rsidRPr="00A02BEC" w:rsidP="00A02BEC">
            <w:pPr>
              <w:pStyle w:val="BodyText"/>
            </w:pPr>
            <w:r w:rsidRPr="00A02BEC">
              <w:t>3.7 Report any areas of continuing non-compliance that result from unresolved differences to syste</w:t>
            </w:r>
            <w:r w:rsidRPr="00A02BEC">
              <w:t>m owners and appropriate authorities as required</w:t>
            </w:r>
          </w:p>
        </w:tc>
      </w:tr>
    </w:tbl>
    <w:p w:rsidR="00000000" w:rsidRPr="00A02BEC" w:rsidP="00A02BEC">
      <w:pPr>
        <w:pStyle w:val="BodyText"/>
      </w:pPr>
    </w:p>
    <w:p w:rsidR="00000000" w:rsidRPr="00A02BEC" w:rsidP="00A02BEC">
      <w:pPr>
        <w:pStyle w:val="AllowPageBreak"/>
      </w:pPr>
    </w:p>
    <w:p w:rsidR="00000000" w:rsidRPr="00A02BEC" w:rsidP="00A02BEC">
      <w:pPr>
        <w:pStyle w:val="Heading1"/>
      </w:pPr>
      <w:bookmarkStart w:id="6" w:name="O_993030"/>
      <w:bookmarkEnd w:id="6"/>
      <w:r w:rsidRPr="00A02BEC">
        <w:t>Foundation Skills</w:t>
      </w:r>
    </w:p>
    <w:p w:rsidR="00000000" w:rsidRPr="00400BAF" w:rsidP="00400BAF">
      <w:pPr>
        <w:pStyle w:val="BodyText"/>
        <w:rPr>
          <w:i/>
        </w:rPr>
      </w:pPr>
      <w:r w:rsidRPr="00400BAF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400BAF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rPr>
                <w:rStyle w:val="SpecialBold"/>
              </w:rPr>
              <w:t>Description</w:t>
            </w:r>
          </w:p>
        </w:tc>
      </w:tr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ListBullet"/>
              <w:rPr>
                <w:lang w:val="en-NZ"/>
              </w:rPr>
            </w:pPr>
            <w:r w:rsidRPr="00A02BEC">
              <w:t>Document communication plan and audit outcomes in an appropriate format to support the food safety audit process</w:t>
            </w:r>
          </w:p>
        </w:tc>
      </w:tr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ListBullet"/>
            </w:pPr>
            <w:r w:rsidRPr="00A02BEC">
              <w:t>Use problem-solving skills to identify and analyse non-conformance</w:t>
            </w:r>
          </w:p>
        </w:tc>
      </w:tr>
    </w:tbl>
    <w:p w:rsidR="00000000" w:rsidRPr="00A02BEC" w:rsidP="00A02BEC">
      <w:pPr>
        <w:pStyle w:val="BodyText"/>
      </w:pPr>
    </w:p>
    <w:p w:rsidR="00000000" w:rsidRPr="00A02BEC" w:rsidP="00A02BEC">
      <w:pPr>
        <w:pStyle w:val="AllowPageBreak"/>
      </w:pPr>
    </w:p>
    <w:p w:rsidR="00000000" w:rsidRPr="00A02BEC" w:rsidP="00A02BEC">
      <w:pPr>
        <w:pStyle w:val="Heading1"/>
      </w:pPr>
      <w:bookmarkStart w:id="7" w:name="O_993032"/>
      <w:bookmarkEnd w:id="7"/>
      <w:r w:rsidRPr="00A02B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rPr>
                <w:rStyle w:val="SpecialBold"/>
              </w:rPr>
              <w:t>Equivalence status</w:t>
            </w:r>
          </w:p>
        </w:tc>
      </w:tr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FBPAUD4002 Communicate and negotiate to conduct food safety audits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FDFAU4002A Communicate and negotiate to conduct food saf</w:t>
            </w:r>
            <w:r w:rsidRPr="00A02BEC">
              <w:t>ety audits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t>Updated to meet Standards for Training Packages</w:t>
            </w:r>
          </w:p>
          <w:p w:rsidR="00000000" w:rsidRPr="00A02BEC" w:rsidP="00A02BEC">
            <w:pPr>
              <w:pStyle w:val="BodyText"/>
            </w:pPr>
          </w:p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Minor changes to Application and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t>Equivalent unit</w:t>
            </w:r>
          </w:p>
        </w:tc>
      </w:tr>
    </w:tbl>
    <w:p w:rsidR="00000000" w:rsidRPr="00A02BEC" w:rsidP="00A02BEC">
      <w:pPr>
        <w:pStyle w:val="BodyText"/>
      </w:pPr>
    </w:p>
    <w:p w:rsidR="00000000" w:rsidRPr="00A02BEC" w:rsidP="00A02BEC">
      <w:pPr>
        <w:pStyle w:val="AllowPageBreak"/>
      </w:pPr>
    </w:p>
    <w:p w:rsidR="00000000" w:rsidRPr="00A02BEC" w:rsidP="00A02BEC">
      <w:pPr>
        <w:pStyle w:val="Heading1"/>
      </w:pPr>
      <w:bookmarkStart w:id="8" w:name="O_993039"/>
      <w:bookmarkEnd w:id="8"/>
      <w:r w:rsidRPr="00A02BEC">
        <w:t>Links</w:t>
      </w:r>
    </w:p>
    <w:p w:rsidR="00000000" w:rsidRPr="00A02BEC" w:rsidP="00400BAF">
      <w:pPr>
        <w:pStyle w:val="BodyText"/>
      </w:pPr>
      <w:r w:rsidRPr="00A02BE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3359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2BEC" w:rsidP="00400BAF">
      <w:pPr>
        <w:pStyle w:val="BodyText"/>
        <w:sectPr w:rsidSect="00A02B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BEC" w:rsidP="00A02BEC">
      <w:pPr>
        <w:pStyle w:val="SuperHeading"/>
      </w:pPr>
      <w:r w:rsidRPr="00A02BEC">
        <w:t xml:space="preserve">Assessment </w:t>
      </w:r>
      <w:r w:rsidRPr="00A02BEC">
        <w:t>Requirements for FBPAUD4002 Communicate and negotiate to conduct food safety audits</w:t>
      </w:r>
    </w:p>
    <w:p w:rsidR="00000000" w:rsidRPr="00A02BEC" w:rsidP="00A02BEC">
      <w:pPr>
        <w:pStyle w:val="Heading1"/>
      </w:pPr>
      <w:bookmarkStart w:id="9" w:name="O_993034"/>
      <w:bookmarkEnd w:id="9"/>
      <w:r w:rsidRPr="00A02B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rPr>
                <w:rStyle w:val="SpecialBold"/>
              </w:rPr>
              <w:t>Comments</w:t>
            </w:r>
          </w:p>
        </w:tc>
      </w:tr>
      <w:tr w:rsidTr="00A02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BEC">
            <w:pPr>
              <w:pStyle w:val="BodyText"/>
              <w:rPr>
                <w:lang w:val="en-NZ"/>
              </w:rPr>
            </w:pPr>
            <w:r w:rsidRPr="00A02BE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BEC" w:rsidP="00A02BEC">
            <w:pPr>
              <w:pStyle w:val="BodyText"/>
            </w:pPr>
            <w:r w:rsidRPr="00A02BEC">
              <w:t>This version released with the FBP Food, Beverage and Pharmaceutical Training Package Version 2.0.</w:t>
            </w:r>
          </w:p>
        </w:tc>
      </w:tr>
    </w:tbl>
    <w:p w:rsidR="00000000" w:rsidRPr="00A02BEC" w:rsidP="00A02BEC">
      <w:pPr>
        <w:pStyle w:val="BodyText"/>
      </w:pPr>
    </w:p>
    <w:p w:rsidR="00000000" w:rsidRPr="00A02BEC" w:rsidP="00A02BEC">
      <w:pPr>
        <w:pStyle w:val="AllowPageBreak"/>
      </w:pPr>
    </w:p>
    <w:p w:rsidR="00000000" w:rsidRPr="00A02BEC" w:rsidP="00A02BEC">
      <w:pPr>
        <w:pStyle w:val="Heading1"/>
      </w:pPr>
      <w:bookmarkStart w:id="10" w:name="O_993035"/>
      <w:bookmarkEnd w:id="10"/>
      <w:r w:rsidRPr="00A02BEC">
        <w:t>Performance Evidence</w:t>
      </w:r>
    </w:p>
    <w:p w:rsidR="00000000" w:rsidRPr="00A02BEC" w:rsidP="00400BAF">
      <w:pPr>
        <w:pStyle w:val="BodyText"/>
      </w:pPr>
      <w:r w:rsidRPr="00A02BEC">
        <w:t xml:space="preserve">An individual demonstrating competency in this unit must satisfy all of the elements and performance criteria of this unit. </w:t>
      </w:r>
    </w:p>
    <w:p w:rsidR="00000000" w:rsidRPr="00A02BEC" w:rsidP="00400BAF">
      <w:pPr>
        <w:pStyle w:val="BodyText"/>
      </w:pPr>
      <w:r w:rsidRPr="00A02BEC">
        <w:t>There must be evidence that the individual has used and applied appropriate communication met</w:t>
      </w:r>
      <w:r w:rsidRPr="00A02BEC">
        <w:t>hods in a food safety audit situation, with a minimum of two different clients or auditees, including:</w:t>
      </w:r>
    </w:p>
    <w:p w:rsidR="00000000" w:rsidRPr="00A02BEC" w:rsidP="00A02BEC">
      <w:pPr>
        <w:pStyle w:val="ListBullet"/>
      </w:pPr>
      <w:r w:rsidRPr="00A02BEC">
        <w:t>a situation where a number of workers have limited English language and literacy skills</w:t>
      </w:r>
    </w:p>
    <w:p w:rsidR="00000000" w:rsidRPr="00A02BEC" w:rsidP="00A02BEC">
      <w:pPr>
        <w:pStyle w:val="ListBullet"/>
      </w:pPr>
      <w:r w:rsidRPr="00A02BEC">
        <w:t>a conflict-based situation where the outcomes are contested by t</w:t>
      </w:r>
      <w:r w:rsidRPr="00A02BEC">
        <w:t>he auditee.</w:t>
      </w:r>
    </w:p>
    <w:p w:rsidR="00000000" w:rsidRPr="00A02BEC" w:rsidP="00A02BEC">
      <w:pPr>
        <w:pStyle w:val="AllowPageBreak"/>
      </w:pPr>
    </w:p>
    <w:p w:rsidR="00000000" w:rsidRPr="00A02BEC" w:rsidP="00A02BEC">
      <w:pPr>
        <w:pStyle w:val="Heading1"/>
      </w:pPr>
      <w:bookmarkStart w:id="11" w:name="O_993036"/>
      <w:bookmarkEnd w:id="11"/>
      <w:r w:rsidRPr="00A02BEC">
        <w:t>Knowledge Evidence</w:t>
      </w:r>
    </w:p>
    <w:p w:rsidR="00000000" w:rsidRPr="00A02BEC" w:rsidP="00400BAF">
      <w:pPr>
        <w:pStyle w:val="BodyText"/>
      </w:pPr>
      <w:r w:rsidRPr="00A02BEC">
        <w:t>An individual must be able to demonstrate the knowledge required to perform the tasks outlined in the elements and performance criteria of this unit. This includes knowledge of:</w:t>
      </w:r>
    </w:p>
    <w:p w:rsidR="00000000" w:rsidRPr="00A02BEC" w:rsidP="00A02BEC">
      <w:pPr>
        <w:pStyle w:val="ListBullet"/>
      </w:pPr>
      <w:r w:rsidRPr="00A02BEC">
        <w:t>legislation that impacts on a</w:t>
      </w:r>
      <w:r w:rsidRPr="00A02BEC">
        <w:t>cceptable communication methods and conduct, including anti-discrimination, anti-harassment and privacy legislation</w:t>
      </w:r>
    </w:p>
    <w:p w:rsidR="00000000" w:rsidRPr="00A02BEC" w:rsidP="00A02BEC">
      <w:pPr>
        <w:pStyle w:val="ListBullet"/>
      </w:pPr>
      <w:r w:rsidRPr="00A02BEC">
        <w:t>language relevant to a</w:t>
      </w:r>
      <w:r w:rsidRPr="00A02BEC">
        <w:t xml:space="preserve">udit process, including terms and jargon to describe food safety legislation, technical processes and industry standards </w:t>
      </w:r>
    </w:p>
    <w:p w:rsidR="00000000" w:rsidRPr="00A02BEC" w:rsidP="00A02BEC">
      <w:pPr>
        <w:pStyle w:val="ListBullet"/>
      </w:pPr>
      <w:r w:rsidRPr="00A02BEC">
        <w:t>effective communication strategies to communicate at different stages of the audit, including to collect audit evidence, provide and p</w:t>
      </w:r>
      <w:r w:rsidRPr="00A02BEC">
        <w:t>resent information, facilitate meeting processes, facilitate issue management and conflict resolution, and communicate audit findings</w:t>
      </w:r>
    </w:p>
    <w:p w:rsidR="00000000" w:rsidRPr="00A02BEC" w:rsidP="00A02BEC">
      <w:pPr>
        <w:pStyle w:val="ListBullet"/>
      </w:pPr>
      <w:r w:rsidRPr="00A02BEC">
        <w:t>confidentiality needs and expectations of food businesses</w:t>
      </w:r>
    </w:p>
    <w:p w:rsidR="00000000" w:rsidRPr="00A02BEC" w:rsidP="00A02BEC">
      <w:pPr>
        <w:pStyle w:val="ListBullet"/>
      </w:pPr>
      <w:r w:rsidRPr="00A02BEC">
        <w:t>strategies to communicate in culturally diverse environments</w:t>
      </w:r>
    </w:p>
    <w:p w:rsidR="00000000" w:rsidRPr="00A02BEC" w:rsidP="00A02BEC">
      <w:pPr>
        <w:pStyle w:val="ListBullet"/>
      </w:pPr>
      <w:r w:rsidRPr="00A02BEC">
        <w:t>dyn</w:t>
      </w:r>
      <w:r w:rsidRPr="00A02BEC">
        <w:t>amics of conflict and strategies to manage resolution</w:t>
      </w:r>
    </w:p>
    <w:p w:rsidR="00000000" w:rsidRPr="00A02BEC" w:rsidP="00A02BEC">
      <w:pPr>
        <w:pStyle w:val="ListBullet"/>
      </w:pPr>
      <w:r w:rsidRPr="00A02BEC">
        <w:t>the structure, authority levels and lines of reporting within a food business</w:t>
      </w:r>
    </w:p>
    <w:p w:rsidR="00000000" w:rsidRPr="00A02BEC" w:rsidP="00A02BEC">
      <w:pPr>
        <w:pStyle w:val="ListBullet"/>
      </w:pPr>
      <w:r w:rsidRPr="00A02BEC">
        <w:t>communication methods relevant to different groups and audiences</w:t>
      </w:r>
    </w:p>
    <w:p w:rsidR="00000000" w:rsidRPr="00A02BEC" w:rsidP="00A02BEC">
      <w:pPr>
        <w:pStyle w:val="ListBullet"/>
      </w:pPr>
      <w:r w:rsidRPr="00A02BEC">
        <w:t>reporting formats and requirements to meet client and legis</w:t>
      </w:r>
      <w:r w:rsidRPr="00A02BEC">
        <w:t>lative needs.</w:t>
      </w:r>
    </w:p>
    <w:p w:rsidR="00000000" w:rsidRPr="00A02BEC" w:rsidP="00A02BEC">
      <w:pPr>
        <w:pStyle w:val="AllowPageBreak"/>
      </w:pPr>
    </w:p>
    <w:p w:rsidR="00000000" w:rsidRPr="00A02BEC" w:rsidP="00A02BEC">
      <w:pPr>
        <w:pStyle w:val="Heading1"/>
      </w:pPr>
      <w:bookmarkStart w:id="12" w:name="O_993037"/>
      <w:bookmarkEnd w:id="12"/>
      <w:r w:rsidRPr="00A02BEC">
        <w:t>Assessment Conditions</w:t>
      </w:r>
    </w:p>
    <w:p w:rsidR="00000000" w:rsidRPr="00A02BEC" w:rsidP="00400BAF">
      <w:pPr>
        <w:pStyle w:val="BodyText"/>
      </w:pPr>
      <w:r w:rsidRPr="00A02BEC">
        <w:t xml:space="preserve">Assessment of skills must take place under the following conditions: </w:t>
      </w:r>
    </w:p>
    <w:p w:rsidR="00000000" w:rsidRPr="00A02BEC" w:rsidP="00A02BEC">
      <w:pPr>
        <w:pStyle w:val="ListBullet"/>
      </w:pPr>
      <w:r w:rsidRPr="00A02BEC">
        <w:t>physical conditions:</w:t>
      </w:r>
    </w:p>
    <w:p w:rsidR="00000000" w:rsidRPr="00A02BEC" w:rsidP="00A02BEC">
      <w:pPr>
        <w:pStyle w:val="ListBullet2"/>
      </w:pPr>
      <w:r w:rsidRPr="00A02BEC">
        <w:t>skills must be demonstrated in a workplace setting or an environment that accurately represents a real workpla</w:t>
      </w:r>
      <w:r w:rsidRPr="00A02BEC">
        <w:t xml:space="preserve">ce </w:t>
      </w:r>
    </w:p>
    <w:p w:rsidR="00000000" w:rsidRPr="00A02BEC" w:rsidP="00A02BEC">
      <w:pPr>
        <w:pStyle w:val="ListBullet"/>
      </w:pPr>
      <w:r w:rsidRPr="00A02BEC">
        <w:t>resources, equipment and materials:</w:t>
      </w:r>
    </w:p>
    <w:p w:rsidR="00000000" w:rsidRPr="00A02BEC" w:rsidP="00A02BEC">
      <w:pPr>
        <w:pStyle w:val="ListBullet2"/>
      </w:pPr>
      <w:r w:rsidRPr="00A02BEC">
        <w:t>case studies of audit findings, including those that involve workers with limited English language and literacy skills, and those that are disputed by the auditee</w:t>
      </w:r>
    </w:p>
    <w:p w:rsidR="00000000" w:rsidRPr="00A02BEC" w:rsidP="00A02BEC">
      <w:pPr>
        <w:pStyle w:val="ListBullet"/>
      </w:pPr>
      <w:r w:rsidRPr="00A02BEC">
        <w:t>relationships:</w:t>
      </w:r>
    </w:p>
    <w:p w:rsidR="00000000" w:rsidRPr="00A02BEC" w:rsidP="00A02BEC">
      <w:pPr>
        <w:pStyle w:val="ListBullet2"/>
      </w:pPr>
      <w:r w:rsidRPr="00A02BEC">
        <w:t>interactions with food production clients and workers.</w:t>
      </w:r>
    </w:p>
    <w:p w:rsidR="00000000" w:rsidRPr="00A02BEC" w:rsidP="00400BAF">
      <w:pPr>
        <w:pStyle w:val="BodyText"/>
      </w:pPr>
      <w:r w:rsidRPr="00A02BEC">
        <w:t>Assessors of this unit must satisfy the requirements for assessors in applicable vocational education and training legislation, frameworks and/or standards.</w:t>
      </w:r>
    </w:p>
    <w:p w:rsidR="00000000" w:rsidRPr="00A02BEC" w:rsidP="00A02BEC">
      <w:pPr>
        <w:pStyle w:val="Heading1"/>
      </w:pPr>
      <w:bookmarkStart w:id="13" w:name="O_993040"/>
      <w:bookmarkEnd w:id="13"/>
      <w:r w:rsidRPr="00A02BEC">
        <w:t>Links</w:t>
      </w:r>
    </w:p>
    <w:p w:rsidR="00000000" w:rsidRPr="00A02BEC" w:rsidP="00400BAF">
      <w:pPr>
        <w:pStyle w:val="BodyText"/>
      </w:pPr>
      <w:r w:rsidRPr="00A02BEC">
        <w:t>Companion Volume Impl</w:t>
      </w:r>
      <w:r w:rsidRPr="00A02BEC">
        <w:t xml:space="preserve">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3359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2BEC" w:rsidP="00A02BEC"/>
    <w:sectPr w:rsidSect="00A02B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EC" w:rsidRPr="00400BAF" w:rsidP="00400B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AF" w:rsidP="00A02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BAF" w:rsidP="00A02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00BAF" w:rsidP="00A02B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EC" w:rsidP="00A02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0BAF">
      <w:t>Approved</w:t>
    </w:r>
    <w:r w:rsidR="00400B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0B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0BAF">
      <w:rPr>
        <w:noProof/>
      </w:rPr>
      <w:t>4</w:t>
    </w:r>
    <w:r>
      <w:rPr>
        <w:noProof/>
      </w:rPr>
      <w:fldChar w:fldCharType="end"/>
    </w:r>
  </w:p>
  <w:p w:rsidR="00A02BEC" w:rsidP="00A02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0B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0BAF">
      <w:t>Manufacturing Industry Skills Alliance</w:t>
    </w:r>
    <w:r w:rsidR="00400BAF">
      <w:fldChar w:fldCharType="end"/>
    </w:r>
  </w:p>
  <w:p w:rsidR="00A02BEC" w:rsidP="00A02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BEC" w:rsidRPr="00400BAF" w:rsidP="00400B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AF" w:rsidRPr="002D2AF8" w:rsidP="00A02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FBPAUD4002 Communicate and negotiate to conduct food safety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0BAF" w:rsidP="00A02B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EC" w:rsidRPr="002D2AF8" w:rsidP="00A02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0BAF">
      <w:t>FBPAUD4002 Communicate and negotiate to conduct food safety audits</w:t>
    </w:r>
    <w:r w:rsidR="00400B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0BAF">
      <w:rPr>
        <w:noProof/>
      </w:rPr>
      <w:t>2 March 2025</w:t>
    </w:r>
    <w:r>
      <w:fldChar w:fldCharType="end"/>
    </w:r>
  </w:p>
  <w:p w:rsidR="00A02BEC" w:rsidP="00A02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41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362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4E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BEC"/>
  </w:style>
  <w:style w:type="character" w:customStyle="1" w:styleId="Heading1Char">
    <w:name w:val="Heading 1 Char"/>
    <w:basedOn w:val="DefaultParagraphFont"/>
    <w:link w:val="Heading1"/>
    <w:rsid w:val="00A02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B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BEC"/>
    <w:rPr>
      <w:b/>
      <w:spacing w:val="0"/>
    </w:rPr>
  </w:style>
  <w:style w:type="paragraph" w:styleId="ListBullet2">
    <w:name w:val="List Bullet 2"/>
    <w:basedOn w:val="List2"/>
    <w:rsid w:val="00A02B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BEC"/>
    <w:rPr>
      <w:i/>
    </w:rPr>
  </w:style>
  <w:style w:type="paragraph" w:customStyle="1" w:styleId="SuperHeading">
    <w:name w:val="SuperHeading"/>
    <w:basedOn w:val="Normal"/>
    <w:rsid w:val="00A02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BEC"/>
  </w:style>
  <w:style w:type="paragraph" w:styleId="TableofFigures">
    <w:name w:val="table of figures"/>
    <w:basedOn w:val="Normal"/>
    <w:next w:val="Normal"/>
    <w:semiHidden/>
    <w:rsid w:val="00A02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B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BEC"/>
    <w:rPr>
      <w:rFonts w:ascii="Wingdings" w:hAnsi="Wingdings"/>
    </w:rPr>
  </w:style>
  <w:style w:type="paragraph" w:customStyle="1" w:styleId="TableHeading">
    <w:name w:val="Table Heading"/>
    <w:basedOn w:val="HeadingBase"/>
    <w:rsid w:val="00A02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BEC"/>
    <w:rPr>
      <w:color w:val="0033CC"/>
      <w:u w:val="none"/>
    </w:rPr>
  </w:style>
  <w:style w:type="paragraph" w:customStyle="1" w:styleId="BodyTextRight">
    <w:name w:val="Body Text Right"/>
    <w:basedOn w:val="BodyText"/>
    <w:rsid w:val="00A02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B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BEC"/>
    <w:rPr>
      <w:sz w:val="32"/>
    </w:rPr>
  </w:style>
  <w:style w:type="paragraph" w:customStyle="1" w:styleId="HeadingProcedure">
    <w:name w:val="Heading Procedure"/>
    <w:basedOn w:val="HeadingBase"/>
    <w:next w:val="Normal"/>
    <w:rsid w:val="00A02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BEC"/>
    <w:pPr>
      <w:spacing w:before="60" w:after="60"/>
    </w:pPr>
  </w:style>
  <w:style w:type="paragraph" w:styleId="ListContinue">
    <w:name w:val="List Continue"/>
    <w:basedOn w:val="List"/>
    <w:rsid w:val="00A02BEC"/>
    <w:pPr>
      <w:ind w:firstLine="0"/>
    </w:pPr>
  </w:style>
  <w:style w:type="paragraph" w:customStyle="1" w:styleId="ListNote">
    <w:name w:val="List Note"/>
    <w:basedOn w:val="List"/>
    <w:rsid w:val="00A02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BEC"/>
    <w:rPr>
      <w:rFonts w:ascii="Courier New" w:hAnsi="Courier New"/>
    </w:rPr>
  </w:style>
  <w:style w:type="paragraph" w:customStyle="1" w:styleId="NoteBullet">
    <w:name w:val="Note Bullet"/>
    <w:basedOn w:val="Note"/>
    <w:rsid w:val="00A02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BEC"/>
    <w:rPr>
      <w:b/>
      <w:smallCaps/>
    </w:rPr>
  </w:style>
  <w:style w:type="paragraph" w:customStyle="1" w:styleId="TableListNumber">
    <w:name w:val="Table List Number"/>
    <w:basedOn w:val="ListNumber"/>
    <w:rsid w:val="00A02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BEC"/>
    <w:pPr>
      <w:numPr>
        <w:numId w:val="9"/>
      </w:numPr>
    </w:pPr>
  </w:style>
  <w:style w:type="paragraph" w:customStyle="1" w:styleId="ListAlpha2">
    <w:name w:val="List Alpha 2"/>
    <w:basedOn w:val="List2"/>
    <w:rsid w:val="00A02BEC"/>
    <w:pPr>
      <w:numPr>
        <w:numId w:val="8"/>
      </w:numPr>
    </w:pPr>
  </w:style>
  <w:style w:type="paragraph" w:styleId="List2">
    <w:name w:val="List 2"/>
    <w:basedOn w:val="BodyText"/>
    <w:rsid w:val="00A02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B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BEC"/>
    <w:pPr>
      <w:numPr>
        <w:numId w:val="4"/>
      </w:numPr>
    </w:pPr>
  </w:style>
  <w:style w:type="paragraph" w:styleId="ListContinue2">
    <w:name w:val="List Continue 2"/>
    <w:basedOn w:val="List2"/>
    <w:rsid w:val="00A02BEC"/>
    <w:pPr>
      <w:ind w:firstLine="0"/>
    </w:pPr>
  </w:style>
  <w:style w:type="paragraph" w:styleId="ListContinue3">
    <w:name w:val="List Continue 3"/>
    <w:basedOn w:val="List3"/>
    <w:rsid w:val="00A02BEC"/>
    <w:pPr>
      <w:ind w:left="1021" w:firstLine="0"/>
    </w:pPr>
  </w:style>
  <w:style w:type="paragraph" w:styleId="ListContinue4">
    <w:name w:val="List Continue 4"/>
    <w:basedOn w:val="List4"/>
    <w:rsid w:val="00A02BEC"/>
    <w:pPr>
      <w:ind w:firstLine="0"/>
    </w:pPr>
  </w:style>
  <w:style w:type="paragraph" w:styleId="ListContinue5">
    <w:name w:val="List Continue 5"/>
    <w:basedOn w:val="List5"/>
    <w:rsid w:val="00A02BEC"/>
    <w:pPr>
      <w:ind w:firstLine="0"/>
    </w:pPr>
  </w:style>
  <w:style w:type="paragraph" w:styleId="ListNumber3">
    <w:name w:val="List Number 3"/>
    <w:basedOn w:val="List3"/>
    <w:rsid w:val="00A02BEC"/>
    <w:pPr>
      <w:numPr>
        <w:numId w:val="5"/>
      </w:numPr>
    </w:pPr>
  </w:style>
  <w:style w:type="paragraph" w:styleId="ListNumber4">
    <w:name w:val="List Number 4"/>
    <w:basedOn w:val="List4"/>
    <w:rsid w:val="00A02BEC"/>
    <w:pPr>
      <w:numPr>
        <w:numId w:val="6"/>
      </w:numPr>
    </w:pPr>
  </w:style>
  <w:style w:type="paragraph" w:styleId="ListNumber5">
    <w:name w:val="List Number 5"/>
    <w:basedOn w:val="List5"/>
    <w:rsid w:val="00A02BEC"/>
    <w:pPr>
      <w:numPr>
        <w:numId w:val="7"/>
      </w:numPr>
    </w:pPr>
  </w:style>
  <w:style w:type="paragraph" w:styleId="BlockText">
    <w:name w:val="Block Text"/>
    <w:basedOn w:val="Normal"/>
    <w:rsid w:val="00A02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BEC"/>
    <w:rPr>
      <w:sz w:val="16"/>
      <w:vertAlign w:val="superscript"/>
    </w:rPr>
  </w:style>
  <w:style w:type="character" w:customStyle="1" w:styleId="Symbols">
    <w:name w:val="Symbols"/>
    <w:basedOn w:val="DefaultParagraphFont"/>
    <w:rsid w:val="00A02BEC"/>
    <w:rPr>
      <w:rFonts w:ascii="Symbol" w:hAnsi="Symbol"/>
    </w:rPr>
  </w:style>
  <w:style w:type="character" w:customStyle="1" w:styleId="MenuOptions">
    <w:name w:val="Menu Options"/>
    <w:basedOn w:val="DefaultParagraphFont"/>
    <w:rsid w:val="00A02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BEC"/>
    <w:rPr>
      <w:b/>
    </w:rPr>
  </w:style>
  <w:style w:type="character" w:customStyle="1" w:styleId="Underlined">
    <w:name w:val="Underlined"/>
    <w:basedOn w:val="DefaultParagraphFont"/>
    <w:rsid w:val="00A02BEC"/>
    <w:rPr>
      <w:u w:val="single"/>
    </w:rPr>
  </w:style>
  <w:style w:type="paragraph" w:customStyle="1" w:styleId="TableBodyTextRight">
    <w:name w:val="Table Body Text Right"/>
    <w:basedOn w:val="TableBodyText"/>
    <w:rsid w:val="00A02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BEC"/>
    <w:rPr>
      <w:sz w:val="18"/>
    </w:rPr>
  </w:style>
  <w:style w:type="paragraph" w:customStyle="1" w:styleId="BodySmallRight">
    <w:name w:val="Body Small Right"/>
    <w:basedOn w:val="BodyTextRight"/>
    <w:rsid w:val="00A02BEC"/>
    <w:rPr>
      <w:sz w:val="18"/>
      <w:szCs w:val="18"/>
    </w:rPr>
  </w:style>
  <w:style w:type="paragraph" w:customStyle="1" w:styleId="MarginEdition">
    <w:name w:val="Margin Edition"/>
    <w:basedOn w:val="MarginNote"/>
    <w:rsid w:val="00A02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BEC"/>
    <w:rPr>
      <w:sz w:val="2"/>
      <w:szCs w:val="2"/>
    </w:rPr>
  </w:style>
  <w:style w:type="character" w:customStyle="1" w:styleId="Small">
    <w:name w:val="Small"/>
    <w:basedOn w:val="DefaultParagraphFont"/>
    <w:rsid w:val="00A02BEC"/>
    <w:rPr>
      <w:sz w:val="16"/>
    </w:rPr>
  </w:style>
  <w:style w:type="paragraph" w:customStyle="1" w:styleId="WideTable">
    <w:name w:val="Wide Table"/>
    <w:basedOn w:val="Normal"/>
    <w:rsid w:val="00A02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BEC"/>
  </w:style>
  <w:style w:type="paragraph" w:styleId="Quote">
    <w:name w:val="Quote"/>
    <w:basedOn w:val="Heading1"/>
    <w:link w:val="QuoteChar"/>
    <w:qFormat/>
    <w:rsid w:val="00A02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BEC"/>
    <w:pPr>
      <w:pageBreakBefore/>
    </w:pPr>
  </w:style>
  <w:style w:type="paragraph" w:customStyle="1" w:styleId="Border">
    <w:name w:val="Border"/>
    <w:basedOn w:val="Normal"/>
    <w:qFormat/>
    <w:rsid w:val="00A02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BEC"/>
    <w:rPr>
      <w:u w:val="single"/>
    </w:rPr>
  </w:style>
  <w:style w:type="character" w:customStyle="1" w:styleId="BoldandItalics">
    <w:name w:val="Bold and Italics"/>
    <w:qFormat/>
    <w:rsid w:val="00A02BEC"/>
    <w:rPr>
      <w:b/>
      <w:i/>
      <w:u w:val="none"/>
    </w:rPr>
  </w:style>
  <w:style w:type="paragraph" w:styleId="BalloonText">
    <w:name w:val="Balloon Text"/>
    <w:basedOn w:val="Normal"/>
    <w:link w:val="BalloonTextChar"/>
    <w:rsid w:val="00A02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BEC"/>
    <w:pPr>
      <w:spacing w:before="0" w:after="0"/>
    </w:pPr>
  </w:style>
  <w:style w:type="paragraph" w:customStyle="1" w:styleId="BodyTextBold">
    <w:name w:val="Body Text Bold"/>
    <w:basedOn w:val="BodyText"/>
    <w:qFormat/>
    <w:rsid w:val="00A02BEC"/>
    <w:rPr>
      <w:b/>
    </w:rPr>
  </w:style>
  <w:style w:type="character" w:styleId="Hyperlink">
    <w:name w:val="Hyperlink"/>
    <w:basedOn w:val="DefaultParagraphFont"/>
    <w:uiPriority w:val="99"/>
    <w:unhideWhenUsed/>
    <w:rsid w:val="00400B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6267</Characters>
  <Application>Microsoft Office Word</Application>
  <DocSecurity>0</DocSecurity>
  <Lines>195</Lines>
  <Paragraphs>111</Paragraphs>
  <ScaleCrop>false</ScaleCrop>
  <Company>Author-it Software Corporation Ltd.</Company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FBPAUD4002 Communicate and negotiate to conduct food safety audits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