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21E" w:rsidP="00B44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FBPAUD4001 Assess compliance with food safety programs</w:t>
      </w:r>
      <w:r>
        <w:fldChar w:fldCharType="end"/>
      </w:r>
    </w:p>
    <w:p w:rsidR="00B4421E" w:rsidP="00B4421E">
      <w:pPr>
        <w:pStyle w:val="Version"/>
        <w:sectPr w:rsidSect="00BC3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C1D" w:rsidP="00BC3C1D">
      <w:pPr>
        <w:pStyle w:val="SuperHeading"/>
      </w:pPr>
      <w:r w:rsidRPr="00BC3C1D">
        <w:t>FBPAUD4001 Assess compliance with food safety programs</w:t>
      </w:r>
    </w:p>
    <w:p w:rsidR="00000000" w:rsidRPr="00BC3C1D" w:rsidP="00BC3C1D">
      <w:pPr>
        <w:pStyle w:val="Heading1"/>
      </w:pPr>
      <w:bookmarkStart w:id="1" w:name="O_993005"/>
      <w:bookmarkEnd w:id="1"/>
      <w:r w:rsidRPr="00BC3C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C3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rPr>
                <w:rStyle w:val="SpecialBold"/>
              </w:rPr>
              <w:t>Comments</w:t>
            </w:r>
          </w:p>
        </w:tc>
      </w:tr>
      <w:tr w:rsidTr="00BC3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t>This version released with the FBP Food, Beverage and Pharmaceutical Training Package Version 2.0.</w:t>
            </w:r>
          </w:p>
        </w:tc>
      </w:tr>
    </w:tbl>
    <w:p w:rsidR="00000000" w:rsidRPr="00BC3C1D" w:rsidP="00BC3C1D">
      <w:pPr>
        <w:pStyle w:val="BodyText"/>
      </w:pPr>
    </w:p>
    <w:p w:rsidR="00000000" w:rsidRPr="00BC3C1D" w:rsidP="00BC3C1D">
      <w:pPr>
        <w:pStyle w:val="AllowPageBreak"/>
      </w:pPr>
    </w:p>
    <w:p w:rsidR="00000000" w:rsidRPr="00BC3C1D" w:rsidP="00BC3C1D">
      <w:pPr>
        <w:pStyle w:val="Heading1"/>
      </w:pPr>
      <w:bookmarkStart w:id="2" w:name="O_993006"/>
      <w:bookmarkEnd w:id="2"/>
      <w:r w:rsidRPr="00BC3C1D">
        <w:t>Application</w:t>
      </w:r>
    </w:p>
    <w:p w:rsidR="00000000" w:rsidRPr="00BC3C1D" w:rsidP="00B4421E">
      <w:pPr>
        <w:pStyle w:val="BodyText"/>
      </w:pPr>
      <w:r w:rsidRPr="00BC3C1D">
        <w:t>This unit of competency describes the skills and knowledge re</w:t>
      </w:r>
      <w:r w:rsidRPr="00BC3C1D">
        <w:t>quired to assess compliance against an approved food safety program, where the program is supported by a prescriptive template or tool, or where compliance is checked against a food safety program that has been validated by a technical expert.</w:t>
      </w:r>
    </w:p>
    <w:p w:rsidR="00000000" w:rsidRPr="00BC3C1D" w:rsidP="00B4421E">
      <w:pPr>
        <w:pStyle w:val="BodyText"/>
      </w:pPr>
      <w:r w:rsidRPr="00BC3C1D">
        <w:t>This unit ap</w:t>
      </w:r>
      <w:r w:rsidRPr="00BC3C1D">
        <w:t xml:space="preserve">plies to individuals who undertake regulatory, commercial or internal audits. </w:t>
      </w:r>
    </w:p>
    <w:p w:rsidR="00000000" w:rsidRPr="00BC3C1D" w:rsidP="00B4421E">
      <w:pPr>
        <w:pStyle w:val="BodyText"/>
      </w:pPr>
      <w:r w:rsidRPr="00BC3C1D">
        <w:t>This unit supports relevant legislation, including food standards included in the Australia New Zealand Food Standards Code, industry codes of practice relating to validation an</w:t>
      </w:r>
      <w:r w:rsidRPr="00BC3C1D">
        <w:t>d verification of a food safety program, and the audit requirements detailed in the National Regulatory Food Safety Auditor Guideline and Policy, and should be read in conjunction with these documents.</w:t>
      </w:r>
    </w:p>
    <w:p w:rsidR="00000000" w:rsidRPr="00BC3C1D" w:rsidP="00B4421E">
      <w:pPr>
        <w:pStyle w:val="BodyText"/>
      </w:pPr>
      <w:r w:rsidRPr="00BC3C1D">
        <w:t>Regulatory food safety audits in Australia are covered</w:t>
      </w:r>
      <w:r w:rsidRPr="00BC3C1D">
        <w:t xml:space="preserve"> by state/territory legislative frameworks that support the requirements of the National Food Safety Audit Policy 2009.</w:t>
      </w:r>
    </w:p>
    <w:p w:rsidR="00000000" w:rsidRPr="00BC3C1D" w:rsidP="00BC3C1D">
      <w:pPr>
        <w:pStyle w:val="Heading1"/>
      </w:pPr>
      <w:bookmarkStart w:id="3" w:name="O_993007"/>
      <w:bookmarkEnd w:id="3"/>
      <w:r w:rsidRPr="00BC3C1D">
        <w:t>Pre-requisite Unit</w:t>
      </w:r>
    </w:p>
    <w:p w:rsidR="00000000" w:rsidRPr="00BC3C1D" w:rsidP="00B4421E">
      <w:pPr>
        <w:pStyle w:val="BodyText"/>
      </w:pPr>
      <w:r w:rsidRPr="00BC3C1D">
        <w:t>Nil</w:t>
      </w:r>
    </w:p>
    <w:p w:rsidR="00000000" w:rsidRPr="00BC3C1D" w:rsidP="00BC3C1D">
      <w:pPr>
        <w:pStyle w:val="Heading1"/>
      </w:pPr>
      <w:bookmarkStart w:id="4" w:name="O_993009"/>
      <w:bookmarkEnd w:id="4"/>
      <w:r w:rsidRPr="00BC3C1D">
        <w:t>Unit Sector</w:t>
      </w:r>
    </w:p>
    <w:p w:rsidR="00000000" w:rsidRPr="00BC3C1D" w:rsidP="00B4421E">
      <w:pPr>
        <w:pStyle w:val="BodyText"/>
      </w:pPr>
      <w:r w:rsidRPr="00BC3C1D">
        <w:t>Food safety auditing (AUD)</w:t>
      </w:r>
    </w:p>
    <w:p w:rsidR="00000000" w:rsidRPr="00BC3C1D" w:rsidP="00BC3C1D">
      <w:pPr>
        <w:pStyle w:val="Heading1"/>
      </w:pPr>
      <w:bookmarkStart w:id="5" w:name="O_993010"/>
      <w:bookmarkEnd w:id="5"/>
      <w:r w:rsidRPr="00BC3C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42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rPr>
                <w:rStyle w:val="SpecialBold"/>
              </w:rPr>
              <w:t>Performance Criteria</w:t>
            </w:r>
          </w:p>
        </w:tc>
      </w:tr>
      <w:tr w:rsidTr="00B442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42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1. Plan the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t xml:space="preserve">1.1 Develop an audit plan to meet </w:t>
            </w:r>
            <w:r w:rsidRPr="00BC3C1D">
              <w:t>the audit scope</w:t>
            </w:r>
          </w:p>
          <w:p w:rsidR="00000000" w:rsidRPr="00BC3C1D" w:rsidP="00BC3C1D">
            <w:pPr>
              <w:pStyle w:val="BodyText"/>
            </w:pPr>
            <w:r w:rsidRPr="00BC3C1D">
              <w:t xml:space="preserve">1.2 Ensure the plan is capable of delivering the required outcomes </w:t>
            </w:r>
            <w:r w:rsidRPr="00BC3C1D">
              <w:t>within resource and time allocations</w:t>
            </w:r>
          </w:p>
          <w:p w:rsidR="00000000" w:rsidRPr="00BC3C1D" w:rsidP="00BC3C1D">
            <w:pPr>
              <w:pStyle w:val="BodyText"/>
            </w:pPr>
            <w:r w:rsidRPr="00BC3C1D">
              <w:t>1.3 Ensure the plan includes audit purpose, scope and relevant templates or approved food safety program</w:t>
            </w:r>
          </w:p>
          <w:p w:rsidR="00000000" w:rsidRPr="00BC3C1D" w:rsidP="00BC3C1D">
            <w:pPr>
              <w:pStyle w:val="BodyText"/>
            </w:pPr>
            <w:r w:rsidRPr="00BC3C1D">
              <w:t>1.4 Identify activities and res</w:t>
            </w:r>
            <w:r w:rsidRPr="00BC3C1D">
              <w:t>ponsibilities for the audit</w:t>
            </w:r>
          </w:p>
          <w:p w:rsidR="00000000" w:rsidRPr="00BC3C1D" w:rsidP="00BC3C1D">
            <w:pPr>
              <w:pStyle w:val="BodyText"/>
            </w:pPr>
            <w:r w:rsidRPr="00BC3C1D">
              <w:t>1.5 Identify audit timing, including timetable for each stage of the audit</w:t>
            </w:r>
          </w:p>
          <w:p w:rsidR="00000000" w:rsidRPr="00BC3C1D" w:rsidP="00BC3C1D">
            <w:pPr>
              <w:pStyle w:val="BodyText"/>
            </w:pPr>
            <w:r w:rsidRPr="00BC3C1D">
              <w:t>1.6 Identify resource, personnel and reporting requirements</w:t>
            </w:r>
          </w:p>
          <w:p w:rsidR="00000000" w:rsidRPr="00BC3C1D" w:rsidP="00BC3C1D">
            <w:pPr>
              <w:pStyle w:val="BodyText"/>
            </w:pPr>
            <w:r w:rsidRPr="00BC3C1D">
              <w:t>1.7 Identify follow-up and completion procedures</w:t>
            </w:r>
          </w:p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1.8 Identify and establish communication protocols to facilitate the effective exchange of information and suited to the auditee environment</w:t>
            </w:r>
          </w:p>
        </w:tc>
      </w:tr>
      <w:tr w:rsidTr="00B442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2. Confirm that the food business has documented required preliminary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t>2.1 Define the food and the method of d</w:t>
            </w:r>
            <w:r w:rsidRPr="00BC3C1D">
              <w:t>istribution</w:t>
            </w:r>
          </w:p>
          <w:p w:rsidR="00000000" w:rsidRPr="00BC3C1D" w:rsidP="00BC3C1D">
            <w:pPr>
              <w:pStyle w:val="BodyText"/>
            </w:pPr>
            <w:r w:rsidRPr="00BC3C1D">
              <w:t>2.2 Identify customers and intended use of food</w:t>
            </w:r>
          </w:p>
          <w:p w:rsidR="00000000" w:rsidRPr="00BC3C1D" w:rsidP="00BC3C1D">
            <w:pPr>
              <w:pStyle w:val="BodyText"/>
            </w:pPr>
            <w:r w:rsidRPr="00BC3C1D">
              <w:t>2.3 Describe and document the process</w:t>
            </w:r>
          </w:p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2.4 Ensure the food business has checked their documentation for accuracy and completeness</w:t>
            </w:r>
          </w:p>
        </w:tc>
      </w:tr>
      <w:tr w:rsidTr="00B442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3. Confirm the food safety program is supported by a tool or templ</w:t>
            </w:r>
            <w:r w:rsidRPr="00BC3C1D">
              <w:t>ate or has been validated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t>3.1 Assess the documented food safety program and related procedures and prerequisite programs to confirm that they have a prescriptive tool or have been validated by a technical expert</w:t>
            </w:r>
          </w:p>
          <w:p w:rsidR="00000000" w:rsidRPr="00BC3C1D" w:rsidP="00BC3C1D">
            <w:pPr>
              <w:pStyle w:val="BodyText"/>
            </w:pPr>
            <w:r w:rsidRPr="00BC3C1D">
              <w:t>3.2 Review the food business’s method of ide</w:t>
            </w:r>
            <w:r w:rsidRPr="00BC3C1D">
              <w:t>ntifying and analysing food safety hazards</w:t>
            </w:r>
          </w:p>
          <w:p w:rsidR="00000000" w:rsidRPr="00BC3C1D" w:rsidP="00BC3C1D">
            <w:pPr>
              <w:pStyle w:val="BodyText"/>
            </w:pPr>
            <w:r w:rsidRPr="00BC3C1D">
              <w:t>3.3 Select templates, or the approved food safety program, to meet audit scope</w:t>
            </w:r>
          </w:p>
          <w:p w:rsidR="00000000" w:rsidRPr="00BC3C1D" w:rsidP="00BC3C1D">
            <w:pPr>
              <w:pStyle w:val="BodyText"/>
            </w:pPr>
            <w:r w:rsidRPr="00BC3C1D">
              <w:t>3.4 Adapt templates, or the approved food safety program, to suit the needs of the business without adversely affecting food safety</w:t>
            </w:r>
          </w:p>
          <w:p w:rsidR="00000000" w:rsidRPr="00BC3C1D" w:rsidP="00BC3C1D">
            <w:pPr>
              <w:pStyle w:val="BodyText"/>
            </w:pPr>
            <w:r w:rsidRPr="00BC3C1D">
              <w:t>3.</w:t>
            </w:r>
            <w:r w:rsidRPr="00BC3C1D">
              <w:t>5 Review documented verification records to confirm that the requirements of the food safety program are being met</w:t>
            </w:r>
          </w:p>
          <w:p w:rsidR="00000000" w:rsidRPr="00BC3C1D" w:rsidP="00BC3C1D">
            <w:pPr>
              <w:pStyle w:val="BodyText"/>
            </w:pPr>
            <w:r w:rsidRPr="00BC3C1D">
              <w:t>3.6 Assess corrective actions required, where processes are identified as not meeting targets or critical limits, to confirm they meet the re</w:t>
            </w:r>
            <w:r w:rsidRPr="00BC3C1D">
              <w:t>quirements of the template or food safety program</w:t>
            </w:r>
          </w:p>
          <w:p w:rsidR="00000000" w:rsidRPr="00BC3C1D" w:rsidP="00BC3C1D">
            <w:pPr>
              <w:pStyle w:val="BodyText"/>
            </w:pPr>
            <w:r w:rsidRPr="00BC3C1D">
              <w:t>3.7 Assess food safety prerequisite programs to confirm they are appropriate for the food business or industry sector to maintain a safe food environment</w:t>
            </w:r>
          </w:p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 xml:space="preserve">3.8 Review food safety program documents to confirm </w:t>
            </w:r>
            <w:r w:rsidRPr="00BC3C1D">
              <w:t xml:space="preserve">currency, accuracy and adequacy to facilitate maintenance of an adequate food </w:t>
            </w:r>
            <w:r w:rsidRPr="00BC3C1D">
              <w:t>safety program</w:t>
            </w:r>
          </w:p>
        </w:tc>
      </w:tr>
      <w:tr w:rsidTr="00B442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4. Collect evidence to review and assess implementation of food safety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t>4.1 Collect evidence to confirm that documented programs and procedures are working effectively, reflect actual practice and are consistently applied</w:t>
            </w:r>
          </w:p>
          <w:p w:rsidR="00000000" w:rsidRPr="00BC3C1D" w:rsidP="00BC3C1D">
            <w:pPr>
              <w:pStyle w:val="BodyText"/>
            </w:pPr>
            <w:r w:rsidRPr="00BC3C1D">
              <w:t>4.2 Collect evidence to confirm that food safety monitoring and corrective actions are carried out accordi</w:t>
            </w:r>
            <w:r w:rsidRPr="00BC3C1D">
              <w:t>ng to procedure</w:t>
            </w:r>
          </w:p>
          <w:p w:rsidR="00000000" w:rsidRPr="00BC3C1D" w:rsidP="00BC3C1D">
            <w:pPr>
              <w:pStyle w:val="BodyText"/>
            </w:pPr>
            <w:r w:rsidRPr="00BC3C1D">
              <w:t>4.3 Collect evidence to confirm that safety prerequisite programs are effective and consistently followed</w:t>
            </w:r>
          </w:p>
          <w:p w:rsidR="00000000" w:rsidRPr="00BC3C1D" w:rsidP="00BC3C1D">
            <w:pPr>
              <w:pStyle w:val="BodyText"/>
            </w:pPr>
            <w:r w:rsidRPr="00BC3C1D">
              <w:t>4.4 Collect evidence to confirm that food safety records are completed and provide an accurate record of events</w:t>
            </w:r>
          </w:p>
          <w:p w:rsidR="00000000" w:rsidRPr="00BC3C1D" w:rsidP="00BC3C1D">
            <w:pPr>
              <w:pStyle w:val="BodyText"/>
            </w:pPr>
            <w:r w:rsidRPr="00BC3C1D">
              <w:t>4.5 Collect evidence t</w:t>
            </w:r>
            <w:r w:rsidRPr="00BC3C1D">
              <w:t>o confirm that records are accessed and analysed to confirm effective program maintenance according to the template or food safety program</w:t>
            </w:r>
          </w:p>
          <w:p w:rsidR="00000000" w:rsidRPr="00BC3C1D" w:rsidP="00BC3C1D">
            <w:pPr>
              <w:pStyle w:val="BodyText"/>
            </w:pPr>
            <w:r w:rsidRPr="00BC3C1D">
              <w:t>4.6 Collect evidence to confirm that food safety skills and knowledge of food business personnel is commensurate with</w:t>
            </w:r>
            <w:r w:rsidRPr="00BC3C1D">
              <w:t xml:space="preserve"> their work role</w:t>
            </w:r>
          </w:p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4.7 Collect evidence to confirm that the food safety program has been internally monitored and assessed, updated and improved by a technical expert</w:t>
            </w:r>
          </w:p>
        </w:tc>
      </w:tr>
      <w:tr w:rsidTr="00B442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5. Manage the audit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t>5.1 Monitor audit progress against the audit plan, and identif</w:t>
            </w:r>
            <w:r w:rsidRPr="00BC3C1D">
              <w:t xml:space="preserve">y and address any variation to plan </w:t>
            </w:r>
          </w:p>
          <w:p w:rsidR="00000000" w:rsidRPr="00BC3C1D" w:rsidP="00BC3C1D">
            <w:pPr>
              <w:pStyle w:val="BodyText"/>
            </w:pPr>
            <w:r w:rsidRPr="00BC3C1D">
              <w:t>5.2 Identify and negotiate circumstances requiring the audit plan to be adjusted in a timely manner</w:t>
            </w:r>
          </w:p>
          <w:p w:rsidR="00000000" w:rsidRPr="00BC3C1D" w:rsidP="00BC3C1D">
            <w:pPr>
              <w:pStyle w:val="BodyText"/>
            </w:pPr>
            <w:r w:rsidRPr="00BC3C1D">
              <w:t>5.3 Ensure audit addresses audit scope and is conducted within time and resource constraints to meet quality and profes</w:t>
            </w:r>
            <w:r w:rsidRPr="00BC3C1D">
              <w:t>sional standards</w:t>
            </w:r>
          </w:p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5.4 Review the audit process to identify opportunities for improvement</w:t>
            </w:r>
          </w:p>
        </w:tc>
      </w:tr>
      <w:tr w:rsidTr="00B442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6. Consolidate audit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t>6.1 Analyse and assess audit evidence to identify any areas of non-compliance with legislation and/or the food safety program</w:t>
            </w:r>
          </w:p>
          <w:p w:rsidR="00000000" w:rsidRPr="00BC3C1D" w:rsidP="00BC3C1D">
            <w:pPr>
              <w:pStyle w:val="BodyText"/>
            </w:pPr>
            <w:r w:rsidRPr="00BC3C1D">
              <w:t>6.2 Identif</w:t>
            </w:r>
            <w:r w:rsidRPr="00BC3C1D">
              <w:t>y and classify non-conformities as agreed by the audit plan</w:t>
            </w:r>
          </w:p>
          <w:p w:rsidR="00000000" w:rsidRPr="00BC3C1D" w:rsidP="00BC3C1D">
            <w:pPr>
              <w:pStyle w:val="BodyText"/>
            </w:pPr>
            <w:r w:rsidRPr="00BC3C1D">
              <w:t>6.3 Report non-conformities according to agreed client and/or legislative requirements</w:t>
            </w:r>
          </w:p>
          <w:p w:rsidR="00000000" w:rsidRPr="00BC3C1D" w:rsidP="00BC3C1D">
            <w:pPr>
              <w:pStyle w:val="BodyText"/>
            </w:pPr>
            <w:r w:rsidRPr="00BC3C1D">
              <w:t>6.4 Prepare and submit audit reports and/or certificates or present as required to meet regulatory and client</w:t>
            </w:r>
            <w:r w:rsidRPr="00BC3C1D">
              <w:t xml:space="preserve"> requirements</w:t>
            </w:r>
          </w:p>
          <w:p w:rsidR="00000000" w:rsidRPr="00BC3C1D" w:rsidP="00BC3C1D">
            <w:pPr>
              <w:pStyle w:val="BodyText"/>
            </w:pPr>
            <w:r w:rsidRPr="00BC3C1D">
              <w:t>6.5 Ensure a corrective action implementation plan defining proposed actions and timelines developed by the auditee is reviewed to confirm that template or food safety program requirements are met</w:t>
            </w:r>
          </w:p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6.6 Review audit findings to confirm that evi</w:t>
            </w:r>
            <w:r w:rsidRPr="00BC3C1D">
              <w:t>dence is sufficient as defined by the template or approved food safety program</w:t>
            </w:r>
          </w:p>
        </w:tc>
      </w:tr>
      <w:tr w:rsidTr="00B442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7. Confirm and close out corrective 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t xml:space="preserve">7.1 Monitor and verify implementation and effectiveness of corrective action against the </w:t>
            </w:r>
            <w:r w:rsidRPr="00BC3C1D">
              <w:t>template or the approved food safety program</w:t>
            </w:r>
          </w:p>
          <w:p w:rsidR="00000000" w:rsidRPr="00BC3C1D" w:rsidP="00BC3C1D">
            <w:pPr>
              <w:pStyle w:val="BodyText"/>
            </w:pPr>
            <w:r w:rsidRPr="00BC3C1D">
              <w:t>7.2 Maintain audit records to record corrective actions</w:t>
            </w:r>
          </w:p>
        </w:tc>
      </w:tr>
    </w:tbl>
    <w:p w:rsidR="00000000" w:rsidRPr="00BC3C1D" w:rsidP="00BC3C1D">
      <w:pPr>
        <w:pStyle w:val="BodyText"/>
      </w:pPr>
    </w:p>
    <w:p w:rsidR="00000000" w:rsidRPr="00BC3C1D" w:rsidP="00BC3C1D">
      <w:pPr>
        <w:pStyle w:val="AllowPageBreak"/>
      </w:pPr>
    </w:p>
    <w:p w:rsidR="00000000" w:rsidRPr="00BC3C1D" w:rsidP="00BC3C1D">
      <w:pPr>
        <w:pStyle w:val="Heading1"/>
      </w:pPr>
      <w:bookmarkStart w:id="6" w:name="O_993011"/>
      <w:bookmarkEnd w:id="6"/>
      <w:r w:rsidRPr="00BC3C1D">
        <w:t>Foundation Skills</w:t>
      </w:r>
    </w:p>
    <w:p w:rsidR="00000000" w:rsidRPr="00B4421E" w:rsidP="00B4421E">
      <w:pPr>
        <w:pStyle w:val="BodyText"/>
        <w:rPr>
          <w:i/>
        </w:rPr>
      </w:pPr>
      <w:r w:rsidRPr="00B4421E">
        <w:rPr>
          <w:rStyle w:val="Emphasis"/>
        </w:rPr>
        <w:t xml:space="preserve">This section describes those language, literacy, numeracy and employment skills that are essential for performance in </w:t>
      </w:r>
      <w:r w:rsidRPr="00B4421E">
        <w:rPr>
          <w:rStyle w:val="Emphasis"/>
        </w:rPr>
        <w:t>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3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rPr>
                <w:rStyle w:val="SpecialBold"/>
              </w:rPr>
              <w:t>Description</w:t>
            </w:r>
          </w:p>
        </w:tc>
      </w:tr>
      <w:tr w:rsidTr="00BC3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ListBullet"/>
            </w:pPr>
            <w:r w:rsidRPr="00BC3C1D">
              <w:t>Interpret food safety guidelines and regulations</w:t>
            </w:r>
          </w:p>
          <w:p w:rsidR="00000000" w:rsidP="00BC3C1D">
            <w:pPr>
              <w:pStyle w:val="ListBullet"/>
              <w:rPr>
                <w:lang w:val="en-NZ"/>
              </w:rPr>
            </w:pPr>
            <w:r w:rsidRPr="00BC3C1D">
              <w:t>Interpret product quality and workplace procedures</w:t>
            </w:r>
          </w:p>
        </w:tc>
      </w:tr>
      <w:tr w:rsidTr="00BC3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ListBullet"/>
            </w:pPr>
            <w:r w:rsidRPr="00BC3C1D">
              <w:t>Apply knowledge of regulations and policies relevant to workplace food safety programs</w:t>
            </w:r>
          </w:p>
          <w:p w:rsidR="00000000" w:rsidP="00BC3C1D">
            <w:pPr>
              <w:pStyle w:val="ListBullet"/>
              <w:rPr>
                <w:lang w:val="en-NZ"/>
              </w:rPr>
            </w:pPr>
            <w:r w:rsidRPr="00BC3C1D">
              <w:t xml:space="preserve">Monitor adherence to legal and regulatory standards and responsibilities </w:t>
            </w:r>
          </w:p>
        </w:tc>
      </w:tr>
      <w:tr w:rsidTr="00BC3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ListBullet"/>
            </w:pPr>
            <w:r w:rsidRPr="00BC3C1D">
              <w:t>Plan, monitor and manage relatively complex, routine and non-routine tasks,</w:t>
            </w:r>
            <w:r w:rsidRPr="00BC3C1D">
              <w:t xml:space="preserve"> making adjustments as necessary</w:t>
            </w:r>
          </w:p>
          <w:p w:rsidR="00000000" w:rsidRPr="00BC3C1D" w:rsidP="00BC3C1D">
            <w:pPr>
              <w:pStyle w:val="ListBullet"/>
            </w:pPr>
            <w:r w:rsidRPr="00BC3C1D">
              <w:t>Use digital tools to monitor processes and access and organise complex data</w:t>
            </w:r>
          </w:p>
        </w:tc>
      </w:tr>
    </w:tbl>
    <w:p w:rsidR="00B4421E" w:rsidP="00BC3C1D">
      <w:pPr>
        <w:pStyle w:val="BodyText"/>
      </w:pPr>
    </w:p>
    <w:p w:rsidR="00B4421E" w:rsidP="00BC3C1D">
      <w:pPr>
        <w:pStyle w:val="BodyText"/>
      </w:pPr>
    </w:p>
    <w:p w:rsidR="00000000" w:rsidRPr="00BC3C1D" w:rsidP="00BC3C1D">
      <w:pPr>
        <w:pStyle w:val="Heading1"/>
      </w:pPr>
      <w:bookmarkStart w:id="7" w:name="O_993013"/>
      <w:bookmarkEnd w:id="7"/>
      <w:r w:rsidRPr="00BC3C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C3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rPr>
                <w:rStyle w:val="SpecialBold"/>
              </w:rPr>
              <w:t>Equivalence status</w:t>
            </w:r>
          </w:p>
        </w:tc>
      </w:tr>
      <w:tr w:rsidTr="00BC3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FBPAUD4</w:t>
            </w:r>
            <w:r w:rsidRPr="00BC3C1D">
              <w:t>001 Assess compliance with food safety programs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FDFAU4001A Assess compliance with food safety programs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C1D">
            <w:pPr>
              <w:pStyle w:val="BodyText"/>
              <w:rPr>
                <w:lang w:val="en-NZ"/>
              </w:rPr>
            </w:pPr>
            <w:r w:rsidRPr="00BC3C1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C1D" w:rsidP="00BC3C1D">
            <w:pPr>
              <w:pStyle w:val="BodyText"/>
            </w:pPr>
            <w:r w:rsidRPr="00BC3C1D">
              <w:t>Equivalent unit</w:t>
            </w:r>
          </w:p>
        </w:tc>
      </w:tr>
    </w:tbl>
    <w:p w:rsidR="00000000" w:rsidRPr="00BC3C1D" w:rsidP="00BC3C1D">
      <w:pPr>
        <w:pStyle w:val="BodyText"/>
      </w:pPr>
    </w:p>
    <w:p w:rsidR="00000000" w:rsidRPr="00BC3C1D" w:rsidP="00BC3C1D">
      <w:pPr>
        <w:pStyle w:val="AllowPageBreak"/>
      </w:pPr>
    </w:p>
    <w:p w:rsidR="00000000" w:rsidRPr="00BC3C1D" w:rsidP="00BC3C1D">
      <w:pPr>
        <w:pStyle w:val="Heading1"/>
      </w:pPr>
      <w:bookmarkStart w:id="8" w:name="O_993020"/>
      <w:bookmarkEnd w:id="8"/>
      <w:r w:rsidRPr="00BC3C1D">
        <w:t>Links</w:t>
      </w:r>
    </w:p>
    <w:p w:rsidR="00000000" w:rsidRPr="00BC3C1D" w:rsidP="00B4421E">
      <w:pPr>
        <w:pStyle w:val="BodyText"/>
      </w:pPr>
      <w:r w:rsidRPr="00BC3C1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739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3C1D" w:rsidP="00BC3C1D"/>
    <w:sectPr w:rsidSect="00BC3C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C1D" w:rsidRPr="00B4421E" w:rsidP="00B44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1E" w:rsidP="00BC3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421E" w:rsidP="00BC3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4421E" w:rsidP="00BC3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C1D" w:rsidRPr="00B4421E" w:rsidP="00B44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1E" w:rsidRPr="002D2AF8" w:rsidP="00BC3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FBPAUD4001 Assess compliance with food safety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4421E" w:rsidP="00BC3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16C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2AE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C1D"/>
  </w:style>
  <w:style w:type="character" w:customStyle="1" w:styleId="Heading1Char">
    <w:name w:val="Heading 1 Char"/>
    <w:basedOn w:val="DefaultParagraphFont"/>
    <w:link w:val="Heading1"/>
    <w:rsid w:val="00BC3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C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C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C1D"/>
    <w:rPr>
      <w:b/>
      <w:spacing w:val="0"/>
    </w:rPr>
  </w:style>
  <w:style w:type="character" w:styleId="Emphasis">
    <w:name w:val="Emphasis"/>
    <w:basedOn w:val="DefaultParagraphFont"/>
    <w:qFormat/>
    <w:rsid w:val="00BC3C1D"/>
    <w:rPr>
      <w:i/>
    </w:rPr>
  </w:style>
  <w:style w:type="paragraph" w:customStyle="1" w:styleId="SuperHeading">
    <w:name w:val="SuperHeading"/>
    <w:basedOn w:val="Normal"/>
    <w:rsid w:val="00BC3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C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C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C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C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C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3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C1D"/>
  </w:style>
  <w:style w:type="paragraph" w:styleId="TableofFigures">
    <w:name w:val="table of figures"/>
    <w:basedOn w:val="Normal"/>
    <w:next w:val="Normal"/>
    <w:semiHidden/>
    <w:rsid w:val="00BC3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C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C1D"/>
    <w:rPr>
      <w:rFonts w:ascii="Wingdings" w:hAnsi="Wingdings"/>
    </w:rPr>
  </w:style>
  <w:style w:type="paragraph" w:customStyle="1" w:styleId="TableHeading">
    <w:name w:val="Table Heading"/>
    <w:basedOn w:val="HeadingBase"/>
    <w:rsid w:val="00BC3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C1D"/>
    <w:rPr>
      <w:color w:val="0033CC"/>
      <w:u w:val="none"/>
    </w:rPr>
  </w:style>
  <w:style w:type="paragraph" w:customStyle="1" w:styleId="BodyTextRight">
    <w:name w:val="Body Text Right"/>
    <w:basedOn w:val="BodyText"/>
    <w:rsid w:val="00BC3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C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C1D"/>
    <w:rPr>
      <w:sz w:val="32"/>
    </w:rPr>
  </w:style>
  <w:style w:type="paragraph" w:customStyle="1" w:styleId="HeadingProcedure">
    <w:name w:val="Heading Procedure"/>
    <w:basedOn w:val="HeadingBase"/>
    <w:next w:val="Normal"/>
    <w:rsid w:val="00BC3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C1D"/>
    <w:pPr>
      <w:spacing w:before="60" w:after="60"/>
    </w:pPr>
  </w:style>
  <w:style w:type="paragraph" w:styleId="ListContinue">
    <w:name w:val="List Continue"/>
    <w:basedOn w:val="List"/>
    <w:rsid w:val="00BC3C1D"/>
    <w:pPr>
      <w:ind w:firstLine="0"/>
    </w:pPr>
  </w:style>
  <w:style w:type="paragraph" w:customStyle="1" w:styleId="ListNote">
    <w:name w:val="List Note"/>
    <w:basedOn w:val="List"/>
    <w:rsid w:val="00BC3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C1D"/>
    <w:rPr>
      <w:rFonts w:ascii="Courier New" w:hAnsi="Courier New"/>
    </w:rPr>
  </w:style>
  <w:style w:type="paragraph" w:customStyle="1" w:styleId="NoteBullet">
    <w:name w:val="Note Bullet"/>
    <w:basedOn w:val="Note"/>
    <w:rsid w:val="00BC3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C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C1D"/>
    <w:rPr>
      <w:b/>
      <w:smallCaps/>
    </w:rPr>
  </w:style>
  <w:style w:type="paragraph" w:customStyle="1" w:styleId="TableListNumber">
    <w:name w:val="Table List Number"/>
    <w:basedOn w:val="ListNumber"/>
    <w:rsid w:val="00BC3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C1D"/>
    <w:pPr>
      <w:numPr>
        <w:numId w:val="8"/>
      </w:numPr>
    </w:pPr>
  </w:style>
  <w:style w:type="paragraph" w:customStyle="1" w:styleId="ListAlpha2">
    <w:name w:val="List Alpha 2"/>
    <w:basedOn w:val="List2"/>
    <w:rsid w:val="00BC3C1D"/>
    <w:pPr>
      <w:numPr>
        <w:numId w:val="7"/>
      </w:numPr>
    </w:pPr>
  </w:style>
  <w:style w:type="paragraph" w:styleId="List2">
    <w:name w:val="List 2"/>
    <w:basedOn w:val="BodyText"/>
    <w:rsid w:val="00BC3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C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C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C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C1D"/>
    <w:pPr>
      <w:numPr>
        <w:numId w:val="3"/>
      </w:numPr>
    </w:pPr>
  </w:style>
  <w:style w:type="paragraph" w:styleId="ListContinue2">
    <w:name w:val="List Continue 2"/>
    <w:basedOn w:val="List2"/>
    <w:rsid w:val="00BC3C1D"/>
    <w:pPr>
      <w:ind w:firstLine="0"/>
    </w:pPr>
  </w:style>
  <w:style w:type="paragraph" w:styleId="ListContinue3">
    <w:name w:val="List Continue 3"/>
    <w:basedOn w:val="List3"/>
    <w:rsid w:val="00BC3C1D"/>
    <w:pPr>
      <w:ind w:left="1021" w:firstLine="0"/>
    </w:pPr>
  </w:style>
  <w:style w:type="paragraph" w:styleId="ListContinue4">
    <w:name w:val="List Continue 4"/>
    <w:basedOn w:val="List4"/>
    <w:rsid w:val="00BC3C1D"/>
    <w:pPr>
      <w:ind w:firstLine="0"/>
    </w:pPr>
  </w:style>
  <w:style w:type="paragraph" w:styleId="ListContinue5">
    <w:name w:val="List Continue 5"/>
    <w:basedOn w:val="List5"/>
    <w:rsid w:val="00BC3C1D"/>
    <w:pPr>
      <w:ind w:firstLine="0"/>
    </w:pPr>
  </w:style>
  <w:style w:type="paragraph" w:styleId="ListNumber3">
    <w:name w:val="List Number 3"/>
    <w:basedOn w:val="List3"/>
    <w:rsid w:val="00BC3C1D"/>
    <w:pPr>
      <w:numPr>
        <w:numId w:val="4"/>
      </w:numPr>
    </w:pPr>
  </w:style>
  <w:style w:type="paragraph" w:styleId="ListNumber4">
    <w:name w:val="List Number 4"/>
    <w:basedOn w:val="List4"/>
    <w:rsid w:val="00BC3C1D"/>
    <w:pPr>
      <w:numPr>
        <w:numId w:val="5"/>
      </w:numPr>
    </w:pPr>
  </w:style>
  <w:style w:type="paragraph" w:styleId="ListNumber5">
    <w:name w:val="List Number 5"/>
    <w:basedOn w:val="List5"/>
    <w:rsid w:val="00BC3C1D"/>
    <w:pPr>
      <w:numPr>
        <w:numId w:val="6"/>
      </w:numPr>
    </w:pPr>
  </w:style>
  <w:style w:type="paragraph" w:styleId="BlockText">
    <w:name w:val="Block Text"/>
    <w:basedOn w:val="Normal"/>
    <w:rsid w:val="00BC3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C1D"/>
    <w:rPr>
      <w:sz w:val="16"/>
      <w:vertAlign w:val="superscript"/>
    </w:rPr>
  </w:style>
  <w:style w:type="character" w:customStyle="1" w:styleId="Symbols">
    <w:name w:val="Symbols"/>
    <w:basedOn w:val="DefaultParagraphFont"/>
    <w:rsid w:val="00BC3C1D"/>
    <w:rPr>
      <w:rFonts w:ascii="Symbol" w:hAnsi="Symbol"/>
    </w:rPr>
  </w:style>
  <w:style w:type="character" w:customStyle="1" w:styleId="MenuOptions">
    <w:name w:val="Menu Options"/>
    <w:basedOn w:val="DefaultParagraphFont"/>
    <w:rsid w:val="00BC3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C1D"/>
    <w:rPr>
      <w:b/>
    </w:rPr>
  </w:style>
  <w:style w:type="character" w:customStyle="1" w:styleId="Underlined">
    <w:name w:val="Underlined"/>
    <w:basedOn w:val="DefaultParagraphFont"/>
    <w:rsid w:val="00BC3C1D"/>
    <w:rPr>
      <w:u w:val="single"/>
    </w:rPr>
  </w:style>
  <w:style w:type="paragraph" w:customStyle="1" w:styleId="TableBodyTextRight">
    <w:name w:val="Table Body Text Right"/>
    <w:basedOn w:val="TableBodyText"/>
    <w:rsid w:val="00BC3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C1D"/>
    <w:rPr>
      <w:sz w:val="18"/>
    </w:rPr>
  </w:style>
  <w:style w:type="paragraph" w:customStyle="1" w:styleId="BodySmallRight">
    <w:name w:val="Body Small Right"/>
    <w:basedOn w:val="BodyTextRight"/>
    <w:rsid w:val="00BC3C1D"/>
    <w:rPr>
      <w:sz w:val="18"/>
      <w:szCs w:val="18"/>
    </w:rPr>
  </w:style>
  <w:style w:type="paragraph" w:customStyle="1" w:styleId="MarginEdition">
    <w:name w:val="Margin Edition"/>
    <w:basedOn w:val="MarginNote"/>
    <w:rsid w:val="00BC3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C1D"/>
    <w:rPr>
      <w:sz w:val="2"/>
      <w:szCs w:val="2"/>
    </w:rPr>
  </w:style>
  <w:style w:type="character" w:customStyle="1" w:styleId="Small">
    <w:name w:val="Small"/>
    <w:basedOn w:val="DefaultParagraphFont"/>
    <w:rsid w:val="00BC3C1D"/>
    <w:rPr>
      <w:sz w:val="16"/>
    </w:rPr>
  </w:style>
  <w:style w:type="paragraph" w:customStyle="1" w:styleId="WideTable">
    <w:name w:val="Wide Table"/>
    <w:basedOn w:val="Normal"/>
    <w:rsid w:val="00BC3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C1D"/>
  </w:style>
  <w:style w:type="paragraph" w:styleId="Quote">
    <w:name w:val="Quote"/>
    <w:basedOn w:val="Heading1"/>
    <w:link w:val="QuoteChar"/>
    <w:qFormat/>
    <w:rsid w:val="00BC3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C1D"/>
    <w:pPr>
      <w:pageBreakBefore/>
    </w:pPr>
  </w:style>
  <w:style w:type="paragraph" w:customStyle="1" w:styleId="Border">
    <w:name w:val="Border"/>
    <w:basedOn w:val="Normal"/>
    <w:qFormat/>
    <w:rsid w:val="00BC3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C1D"/>
    <w:rPr>
      <w:u w:val="single"/>
    </w:rPr>
  </w:style>
  <w:style w:type="character" w:customStyle="1" w:styleId="BoldandItalics">
    <w:name w:val="Bold and Italics"/>
    <w:qFormat/>
    <w:rsid w:val="00BC3C1D"/>
    <w:rPr>
      <w:b/>
      <w:i/>
      <w:u w:val="none"/>
    </w:rPr>
  </w:style>
  <w:style w:type="paragraph" w:styleId="BalloonText">
    <w:name w:val="Balloon Text"/>
    <w:basedOn w:val="Normal"/>
    <w:link w:val="BalloonTextChar"/>
    <w:rsid w:val="00BC3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C1D"/>
    <w:pPr>
      <w:spacing w:before="0" w:after="0"/>
    </w:pPr>
  </w:style>
  <w:style w:type="paragraph" w:customStyle="1" w:styleId="BodyTextBold">
    <w:name w:val="Body Text Bold"/>
    <w:basedOn w:val="BodyText"/>
    <w:qFormat/>
    <w:rsid w:val="00BC3C1D"/>
    <w:rPr>
      <w:b/>
    </w:rPr>
  </w:style>
  <w:style w:type="character" w:styleId="Hyperlink">
    <w:name w:val="Hyperlink"/>
    <w:basedOn w:val="DefaultParagraphFont"/>
    <w:uiPriority w:val="99"/>
    <w:unhideWhenUsed/>
    <w:rsid w:val="00B44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1080</Words>
  <Characters>6364</Characters>
  <Application>Microsoft Office Word</Application>
  <DocSecurity>0</DocSecurity>
  <Lines>192</Lines>
  <Paragraphs>109</Paragraphs>
  <ScaleCrop>false</ScaleCrop>
  <Company>Author-it Software Corporation Ltd.</Company>
  <LinksUpToDate>false</LinksUpToDate>
  <CharactersWithSpaces>7335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FBPAUD4001 Assess compliance with food safety programs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