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395" w:rsidP="004B0395">
      <w:pPr>
        <w:pStyle w:val="Title"/>
      </w:pPr>
      <w:bookmarkStart w:id="0" w:name="_GoBack"/>
      <w:bookmarkEnd w:id="0"/>
      <w:r>
        <w:fldChar w:fldCharType="begin"/>
      </w:r>
      <w:r>
        <w:instrText xml:space="preserve"> TITLE   \* MERGEFORMAT </w:instrText>
      </w:r>
      <w:r>
        <w:fldChar w:fldCharType="separate"/>
      </w:r>
      <w:r>
        <w:t>DEFIN015 Locate electromagnetic emissions</w:t>
      </w:r>
      <w:r>
        <w:fldChar w:fldCharType="end"/>
      </w:r>
    </w:p>
    <w:p w:rsidR="004B0395" w:rsidP="004B0395">
      <w:pPr>
        <w:pStyle w:val="Version"/>
        <w:sectPr w:rsidSect="00FD1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7E9" w:rsidP="00FD17E9">
      <w:pPr>
        <w:pStyle w:val="SuperHeading"/>
      </w:pPr>
      <w:r w:rsidRPr="00FD17E9">
        <w:t>DEFIN015 Locate electromagnetic emissions</w:t>
      </w:r>
    </w:p>
    <w:p w:rsidR="00000000" w:rsidRPr="00FD17E9" w:rsidP="00FD17E9">
      <w:pPr>
        <w:pStyle w:val="Heading1"/>
      </w:pPr>
      <w:bookmarkStart w:id="1" w:name="O_523467"/>
      <w:bookmarkEnd w:id="1"/>
      <w:r w:rsidRPr="00FD17E9">
        <w:t>Modification History</w:t>
      </w:r>
    </w:p>
    <w:tbl>
      <w:tblPr>
        <w:tblW w:w="0" w:type="auto"/>
        <w:tblLayout w:type="fixed"/>
        <w:tblCellMar>
          <w:left w:w="62" w:type="dxa"/>
          <w:right w:w="62" w:type="dxa"/>
        </w:tblCellMar>
        <w:tblLook w:val="0000"/>
      </w:tblPr>
      <w:tblGrid>
        <w:gridCol w:w="1134"/>
        <w:gridCol w:w="1134"/>
        <w:gridCol w:w="4536"/>
      </w:tblGrid>
      <w:tr w:rsidTr="004B0395">
        <w:tblPrEx>
          <w:tblW w:w="0" w:type="auto"/>
          <w:tblLayout w:type="fixed"/>
          <w:tblCellMar>
            <w:left w:w="62" w:type="dxa"/>
            <w:right w:w="62" w:type="dxa"/>
          </w:tblCellMar>
          <w:tblLook w:val="0000"/>
        </w:tblPrEx>
        <w:trPr>
          <w:trHeight w:val="35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TableBodyText"/>
            </w:pPr>
            <w:r w:rsidRPr="00FD17E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TableBodyText"/>
            </w:pPr>
            <w:r w:rsidRPr="00FD17E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TableBodyText"/>
              <w:rPr>
                <w:lang w:val="en-NZ"/>
              </w:rPr>
            </w:pPr>
            <w:r w:rsidRPr="00FD17E9">
              <w:rPr>
                <w:rStyle w:val="SpecialBold"/>
              </w:rPr>
              <w:t>Comments</w:t>
            </w:r>
          </w:p>
        </w:tc>
      </w:tr>
      <w:tr w:rsidTr="004B0395">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TableBodyText"/>
              <w:rPr>
                <w:lang w:val="en-NZ"/>
              </w:rPr>
            </w:pPr>
            <w:r w:rsidRPr="00FD17E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TableBodyText"/>
              <w:rPr>
                <w:lang w:val="en-NZ"/>
              </w:rPr>
            </w:pPr>
            <w:r w:rsidRPr="00FD17E9">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TableBodyText"/>
              <w:rPr>
                <w:lang w:val="en-NZ"/>
              </w:rPr>
            </w:pPr>
            <w:r w:rsidRPr="00FD17E9">
              <w:t xml:space="preserve">New unit. </w:t>
            </w:r>
          </w:p>
        </w:tc>
      </w:tr>
      <w:tr w:rsidTr="004B039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TableBodyText"/>
              <w:rPr>
                <w:lang w:val="en-NZ"/>
              </w:rPr>
            </w:pPr>
            <w:r w:rsidRPr="00FD17E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TableBodyText"/>
              <w:rPr>
                <w:lang w:val="en-NZ"/>
              </w:rPr>
            </w:pPr>
            <w:r w:rsidRPr="00FD17E9">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TableBodyText"/>
            </w:pPr>
            <w:r w:rsidRPr="00FD17E9">
              <w:t xml:space="preserve">Primary release. </w:t>
            </w:r>
          </w:p>
        </w:tc>
      </w:tr>
    </w:tbl>
    <w:p w:rsidR="004B0395" w:rsidP="00FD17E9">
      <w:pPr>
        <w:pStyle w:val="TableBodyText"/>
      </w:pPr>
    </w:p>
    <w:p w:rsidR="004B0395" w:rsidP="00FD17E9">
      <w:pPr>
        <w:pStyle w:val="TableBodyText"/>
      </w:pPr>
    </w:p>
    <w:p w:rsidR="00000000" w:rsidRPr="00FD17E9" w:rsidP="00FD17E9">
      <w:pPr>
        <w:pStyle w:val="Heading1"/>
      </w:pPr>
      <w:bookmarkStart w:id="2" w:name="O_523468"/>
      <w:bookmarkEnd w:id="2"/>
      <w:r w:rsidRPr="00FD17E9">
        <w:t>Unit Descriptor</w:t>
      </w:r>
    </w:p>
    <w:p w:rsidR="00000000" w:rsidRPr="00FD17E9" w:rsidP="00FD17E9">
      <w:pPr>
        <w:pStyle w:val="BodyText"/>
      </w:pPr>
      <w:r w:rsidRPr="00FD17E9">
        <w:t>This unit covers the competency required to establish the direction from which a received emission was transmitted ("direction finding") from the clandestine or overt interception of a transmitted electromagnetic emission ("intercept"). This unit also cove</w:t>
      </w:r>
      <w:r w:rsidRPr="00FD17E9">
        <w:t xml:space="preserve">rs the production and reporting of a triangulated emission point-of-origin assessment. </w:t>
      </w:r>
    </w:p>
    <w:p w:rsidR="004B0395" w:rsidP="00FD17E9">
      <w:pPr>
        <w:pStyle w:val="BodyText"/>
      </w:pPr>
      <w:r w:rsidRPr="00FD17E9">
        <w:t>No licensing, legislative, regulatory or certification requirements apply to this unit at the time of publication. In a Defence context, this means that there is no civ</w:t>
      </w:r>
      <w:r w:rsidRPr="00FD17E9">
        <w:t>ilian need to hold this unit in order to meet licensing, legislative, regulatory or certification requirements.</w:t>
      </w:r>
    </w:p>
    <w:p w:rsidR="004B0395" w:rsidP="00FD17E9">
      <w:pPr>
        <w:pStyle w:val="BodyText"/>
      </w:pPr>
    </w:p>
    <w:p w:rsidR="00000000" w:rsidRPr="00FD17E9" w:rsidP="00FD17E9">
      <w:pPr>
        <w:pStyle w:val="Heading1"/>
      </w:pPr>
      <w:bookmarkStart w:id="3" w:name="O_523469"/>
      <w:bookmarkEnd w:id="3"/>
      <w:r w:rsidRPr="00FD17E9">
        <w:t>Application of the Unit</w:t>
      </w:r>
    </w:p>
    <w:p w:rsidR="00000000" w:rsidRPr="00FD17E9" w:rsidP="00FD17E9">
      <w:pPr>
        <w:pStyle w:val="BodyText"/>
      </w:pPr>
      <w:r w:rsidRPr="00FD17E9">
        <w:t>This unit was designed for Defence personnel working within the electronic warfare and signals intelli</w:t>
      </w:r>
      <w:r w:rsidRPr="00FD17E9">
        <w:t>gence fields but may be applicable to any individual employed within a similar role.</w:t>
      </w:r>
    </w:p>
    <w:p w:rsidR="00000000" w:rsidRPr="00FD17E9" w:rsidP="00FD17E9">
      <w:pPr>
        <w:pStyle w:val="BodyText"/>
      </w:pPr>
      <w:r w:rsidRPr="00FD17E9">
        <w:t>Typically individuals perform this activity independently with indirect supervision. The application of this unit in the workplace involves the use of specialist sensor eq</w:t>
      </w:r>
      <w:r w:rsidRPr="00FD17E9">
        <w:t xml:space="preserve">uipment to establish a magnetic line of bearing to the source of an emission, and the triangulation of multiple sensor bearings to determine the best point estimate of the transmitting antenna’s location. </w:t>
      </w:r>
    </w:p>
    <w:p w:rsidR="004B0395" w:rsidP="00FD17E9">
      <w:pPr>
        <w:pStyle w:val="BodyText"/>
      </w:pPr>
      <w:r w:rsidRPr="00FD17E9">
        <w:t xml:space="preserve">All activities are carried out in accordance with </w:t>
      </w:r>
      <w:r w:rsidRPr="00FD17E9">
        <w:t>relevant standard procedures.</w:t>
      </w:r>
    </w:p>
    <w:p w:rsidR="004B0395" w:rsidP="00FD17E9">
      <w:pPr>
        <w:pStyle w:val="BodyText"/>
      </w:pPr>
    </w:p>
    <w:p w:rsidR="00000000" w:rsidRPr="00FD17E9" w:rsidP="00FD17E9">
      <w:pPr>
        <w:pStyle w:val="Heading1"/>
      </w:pPr>
      <w:bookmarkStart w:id="4" w:name="O_523470"/>
      <w:bookmarkEnd w:id="4"/>
      <w:r w:rsidRPr="00FD17E9">
        <w:t>Licensing/Regulatory Information</w:t>
      </w:r>
    </w:p>
    <w:p w:rsidR="00000000" w:rsidRPr="00FD17E9" w:rsidP="00FD17E9">
      <w:pPr>
        <w:pStyle w:val="BodyText"/>
      </w:pPr>
      <w:r w:rsidRPr="00FD17E9">
        <w:t>Not applicable.</w:t>
      </w:r>
    </w:p>
    <w:p w:rsidR="00000000" w:rsidRPr="00FD17E9" w:rsidP="00FD17E9">
      <w:pPr>
        <w:pStyle w:val="AllowPageBreak"/>
      </w:pPr>
    </w:p>
    <w:p w:rsidR="00000000" w:rsidRPr="00FD17E9" w:rsidP="00FD17E9">
      <w:pPr>
        <w:pStyle w:val="Heading1"/>
      </w:pPr>
      <w:bookmarkStart w:id="5" w:name="O_523471"/>
      <w:bookmarkEnd w:id="5"/>
      <w:r w:rsidRPr="00FD17E9">
        <w:t>Pre-Requisites</w:t>
      </w:r>
    </w:p>
    <w:p w:rsidR="00000000" w:rsidRPr="00FD17E9" w:rsidP="00FD17E9">
      <w:pPr>
        <w:pStyle w:val="BodyText"/>
      </w:pPr>
      <w:r w:rsidRPr="00FD17E9">
        <w:t>Not applicable.</w:t>
      </w:r>
    </w:p>
    <w:p w:rsidR="00000000" w:rsidRPr="00FD17E9" w:rsidP="00FD17E9">
      <w:pPr>
        <w:pStyle w:val="AllowPageBreak"/>
      </w:pPr>
    </w:p>
    <w:p w:rsidR="00000000" w:rsidRPr="00FD17E9" w:rsidP="00FD17E9">
      <w:pPr>
        <w:pStyle w:val="Heading1"/>
      </w:pPr>
      <w:bookmarkStart w:id="6" w:name="O_523472"/>
      <w:bookmarkEnd w:id="6"/>
      <w:r w:rsidRPr="00FD17E9">
        <w:t>Employability Skills Information</w:t>
      </w:r>
    </w:p>
    <w:p w:rsidR="00000000" w:rsidRPr="00FD17E9" w:rsidP="00FD17E9">
      <w:pPr>
        <w:pStyle w:val="BodyText"/>
      </w:pPr>
      <w:r w:rsidRPr="00FD17E9">
        <w:t>This unit contains employability skills.</w:t>
      </w:r>
    </w:p>
    <w:p w:rsidR="00000000" w:rsidRPr="00FD17E9" w:rsidP="00FD17E9">
      <w:pPr>
        <w:pStyle w:val="AllowPageBreak"/>
      </w:pPr>
    </w:p>
    <w:p w:rsidR="00000000" w:rsidRPr="00FD17E9" w:rsidP="00FD17E9">
      <w:pPr>
        <w:pStyle w:val="Heading1"/>
      </w:pPr>
      <w:bookmarkStart w:id="7" w:name="O_523473"/>
      <w:bookmarkEnd w:id="7"/>
      <w:r w:rsidRPr="00FD17E9">
        <w:t>Elements and Performance Criteria Pre-Content</w:t>
      </w:r>
    </w:p>
    <w:tbl>
      <w:tblPr>
        <w:tblW w:w="0" w:type="auto"/>
        <w:tblLayout w:type="fixed"/>
        <w:tblCellMar>
          <w:left w:w="62" w:type="dxa"/>
          <w:right w:w="62" w:type="dxa"/>
        </w:tblCellMar>
        <w:tblLook w:val="0000"/>
      </w:tblPr>
      <w:tblGrid>
        <w:gridCol w:w="3060"/>
        <w:gridCol w:w="5580"/>
      </w:tblGrid>
      <w:tr w:rsidTr="00FD17E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17E9">
            <w:pPr>
              <w:pStyle w:val="BodyText"/>
              <w:rPr>
                <w:lang w:val="en-NZ"/>
              </w:rPr>
            </w:pPr>
            <w:r w:rsidRPr="00FD17E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D17E9" w:rsidP="00FD17E9">
            <w:pPr>
              <w:pStyle w:val="BodyText"/>
            </w:pPr>
            <w:r w:rsidRPr="00FD17E9">
              <w:t xml:space="preserve">Performance Criteria describe the required performance needed to demonstrate achievement of the element. Where </w:t>
            </w:r>
            <w:r w:rsidRPr="00FD17E9">
              <w:rPr>
                <w:rStyle w:val="BoldandItalics"/>
              </w:rPr>
              <w:t>bold italicised</w:t>
            </w:r>
            <w:r w:rsidRPr="00FD17E9">
              <w:t xml:space="preserve"> text is used, fur</w:t>
            </w:r>
            <w:r w:rsidRPr="00FD17E9">
              <w:t>ther information is detailed in the Range Statement. Assessment of performance is to be consistent with the Evidence Guide.</w:t>
            </w:r>
          </w:p>
        </w:tc>
      </w:tr>
    </w:tbl>
    <w:p w:rsidR="00000000" w:rsidRPr="00FD17E9" w:rsidP="00FD17E9">
      <w:pPr>
        <w:pStyle w:val="BodyText"/>
      </w:pPr>
    </w:p>
    <w:p w:rsidR="00000000" w:rsidRPr="00FD17E9" w:rsidP="00FD17E9">
      <w:pPr>
        <w:pStyle w:val="AllowPageBreak"/>
      </w:pPr>
    </w:p>
    <w:p w:rsidR="00000000" w:rsidRPr="00FD17E9" w:rsidP="00FD17E9">
      <w:pPr>
        <w:pStyle w:val="Heading1"/>
      </w:pPr>
      <w:bookmarkStart w:id="8" w:name="O_523474"/>
      <w:bookmarkEnd w:id="8"/>
      <w:r w:rsidRPr="00FD17E9">
        <w:t>Elements and Performance Criteria</w:t>
      </w:r>
    </w:p>
    <w:tbl>
      <w:tblPr>
        <w:tblW w:w="0" w:type="auto"/>
        <w:tblLayout w:type="fixed"/>
        <w:tblCellMar>
          <w:left w:w="62" w:type="dxa"/>
          <w:right w:w="62" w:type="dxa"/>
        </w:tblCellMar>
        <w:tblLook w:val="0000"/>
      </w:tblPr>
      <w:tblGrid>
        <w:gridCol w:w="3060"/>
        <w:gridCol w:w="5580"/>
      </w:tblGrid>
      <w:tr w:rsidTr="00FD17E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D17E9" w:rsidP="00FD17E9">
            <w:pPr>
              <w:pStyle w:val="BodyText"/>
            </w:pPr>
            <w:r w:rsidRPr="00FD17E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D17E9">
            <w:pPr>
              <w:pStyle w:val="BodyText"/>
              <w:rPr>
                <w:lang w:val="en-NZ"/>
              </w:rPr>
            </w:pPr>
            <w:r w:rsidRPr="00FD17E9">
              <w:rPr>
                <w:rStyle w:val="SpecialBold"/>
              </w:rPr>
              <w:t>PERFORMANCE CRITERIA</w:t>
            </w:r>
          </w:p>
        </w:tc>
      </w:tr>
      <w:tr w:rsidTr="00FD17E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17E9">
            <w:pPr>
              <w:pStyle w:val="List"/>
              <w:rPr>
                <w:lang w:val="en-NZ"/>
              </w:rPr>
            </w:pPr>
            <w:r w:rsidRPr="00FD17E9">
              <w:t>1.</w:t>
            </w:r>
            <w:r w:rsidRPr="00FD17E9">
              <w:tab/>
            </w:r>
            <w:r w:rsidRPr="00FD17E9">
              <w:rPr>
                <w:rStyle w:val="SpecialBold"/>
              </w:rPr>
              <w:t>Prepare for direction finding activities</w:t>
            </w:r>
          </w:p>
        </w:tc>
        <w:tc>
          <w:tcPr>
            <w:tcW w:w="5580" w:type="dxa"/>
            <w:tcBorders>
              <w:top w:val="nil"/>
              <w:left w:val="nil"/>
              <w:bottom w:val="nil"/>
              <w:right w:val="nil"/>
            </w:tcBorders>
            <w:tcMar>
              <w:top w:w="0" w:type="dxa"/>
              <w:left w:w="62" w:type="dxa"/>
              <w:bottom w:w="0" w:type="dxa"/>
              <w:right w:w="62" w:type="dxa"/>
            </w:tcMar>
          </w:tcPr>
          <w:p w:rsidR="00000000" w:rsidRPr="00FD17E9" w:rsidP="00FD17E9">
            <w:pPr>
              <w:pStyle w:val="List"/>
            </w:pPr>
            <w:r w:rsidRPr="00FD17E9">
              <w:t>1.1</w:t>
            </w:r>
            <w:r w:rsidRPr="00FD17E9">
              <w:tab/>
            </w:r>
            <w:r w:rsidRPr="00FD17E9">
              <w:t>A direction finding task plan is developed, detailing key tasks and timelines.</w:t>
            </w:r>
          </w:p>
          <w:p w:rsidR="00000000" w:rsidRPr="00FD17E9" w:rsidP="00FD17E9">
            <w:pPr>
              <w:pStyle w:val="List"/>
            </w:pPr>
            <w:r w:rsidRPr="00FD17E9">
              <w:t>1.2</w:t>
            </w:r>
            <w:r w:rsidRPr="00FD17E9">
              <w:tab/>
              <w:t xml:space="preserve">Direction finding </w:t>
            </w:r>
            <w:r w:rsidRPr="00FD17E9">
              <w:rPr>
                <w:rStyle w:val="BoldandItalics"/>
              </w:rPr>
              <w:t>equipment</w:t>
            </w:r>
            <w:r w:rsidRPr="00FD17E9">
              <w:t xml:space="preserve"> is prepared considering the task requirements and duration.</w:t>
            </w:r>
          </w:p>
          <w:p w:rsidR="00000000" w:rsidRPr="00FD17E9" w:rsidP="00FD17E9">
            <w:pPr>
              <w:pStyle w:val="List"/>
            </w:pPr>
            <w:r w:rsidRPr="00FD17E9">
              <w:t>1.3</w:t>
            </w:r>
            <w:r w:rsidRPr="00FD17E9">
              <w:tab/>
              <w:t>Tasks and orders are received and clarified where required.</w:t>
            </w:r>
          </w:p>
          <w:p w:rsidR="00000000" w:rsidP="00FD17E9">
            <w:pPr>
              <w:pStyle w:val="List"/>
              <w:rPr>
                <w:lang w:val="en-NZ"/>
              </w:rPr>
            </w:pPr>
            <w:r w:rsidRPr="00FD17E9">
              <w:t>1.4</w:t>
            </w:r>
            <w:r w:rsidRPr="00FD17E9">
              <w:tab/>
              <w:t>Liaison is conduc</w:t>
            </w:r>
            <w:r w:rsidRPr="00FD17E9">
              <w:t xml:space="preserve">ted with higher, subordinate, and supporting </w:t>
            </w:r>
            <w:r w:rsidRPr="00FD17E9">
              <w:rPr>
                <w:rStyle w:val="BoldandItalics"/>
              </w:rPr>
              <w:t>stakeholders.</w:t>
            </w:r>
          </w:p>
        </w:tc>
      </w:tr>
      <w:tr w:rsidTr="00FD17E9">
        <w:tblPrEx>
          <w:tblW w:w="0" w:type="auto"/>
          <w:tblLayout w:type="fixed"/>
          <w:tblCellMar>
            <w:left w:w="62" w:type="dxa"/>
            <w:right w:w="62" w:type="dxa"/>
          </w:tblCellMar>
          <w:tblLook w:val="0000"/>
        </w:tblPrEx>
        <w:trPr>
          <w:trHeight w:val="2351"/>
        </w:trPr>
        <w:tc>
          <w:tcPr>
            <w:tcW w:w="3060" w:type="dxa"/>
            <w:tcBorders>
              <w:top w:val="nil"/>
              <w:left w:val="nil"/>
              <w:bottom w:val="nil"/>
              <w:right w:val="nil"/>
            </w:tcBorders>
            <w:tcMar>
              <w:top w:w="0" w:type="dxa"/>
              <w:left w:w="62" w:type="dxa"/>
              <w:bottom w:w="0" w:type="dxa"/>
              <w:right w:w="62" w:type="dxa"/>
            </w:tcMar>
          </w:tcPr>
          <w:p w:rsidR="00000000" w:rsidP="00FD17E9">
            <w:pPr>
              <w:pStyle w:val="List"/>
              <w:rPr>
                <w:lang w:val="en-NZ"/>
              </w:rPr>
            </w:pPr>
            <w:r w:rsidRPr="00FD17E9">
              <w:t>2.</w:t>
            </w:r>
            <w:r w:rsidRPr="00FD17E9">
              <w:tab/>
            </w:r>
            <w:r w:rsidRPr="00FD17E9">
              <w:rPr>
                <w:rStyle w:val="SpecialBold"/>
              </w:rPr>
              <w:t>Intercept emission</w:t>
            </w:r>
          </w:p>
        </w:tc>
        <w:tc>
          <w:tcPr>
            <w:tcW w:w="5580" w:type="dxa"/>
            <w:tcBorders>
              <w:top w:val="nil"/>
              <w:left w:val="nil"/>
              <w:bottom w:val="nil"/>
              <w:right w:val="nil"/>
            </w:tcBorders>
            <w:tcMar>
              <w:top w:w="0" w:type="dxa"/>
              <w:left w:w="62" w:type="dxa"/>
              <w:bottom w:w="0" w:type="dxa"/>
              <w:right w:w="62" w:type="dxa"/>
            </w:tcMar>
          </w:tcPr>
          <w:p w:rsidR="00000000" w:rsidRPr="00FD17E9" w:rsidP="00FD17E9">
            <w:pPr>
              <w:pStyle w:val="List"/>
            </w:pPr>
            <w:r w:rsidRPr="00FD17E9">
              <w:t>2.1</w:t>
            </w:r>
            <w:r w:rsidRPr="00FD17E9">
              <w:tab/>
              <w:t xml:space="preserve">Direction finding equipment is operated according to </w:t>
            </w:r>
            <w:r w:rsidRPr="00FD17E9">
              <w:rPr>
                <w:rStyle w:val="BoldandItalics"/>
              </w:rPr>
              <w:t>manufacturer specifications</w:t>
            </w:r>
            <w:r w:rsidRPr="00FD17E9">
              <w:t xml:space="preserve"> and </w:t>
            </w:r>
            <w:r w:rsidRPr="00FD17E9">
              <w:rPr>
                <w:rStyle w:val="BoldandItalics"/>
              </w:rPr>
              <w:t>standard procedures.</w:t>
            </w:r>
          </w:p>
          <w:p w:rsidR="00000000" w:rsidRPr="00FD17E9" w:rsidP="00FD17E9">
            <w:pPr>
              <w:pStyle w:val="List"/>
            </w:pPr>
            <w:r w:rsidRPr="00FD17E9">
              <w:t>2.2</w:t>
            </w:r>
            <w:r w:rsidRPr="00FD17E9">
              <w:tab/>
            </w:r>
            <w:r w:rsidRPr="00FD17E9">
              <w:rPr>
                <w:rStyle w:val="BoldandItalics"/>
              </w:rPr>
              <w:t>Target emission</w:t>
            </w:r>
            <w:r w:rsidRPr="00FD17E9">
              <w:t xml:space="preserve"> is </w:t>
            </w:r>
            <w:r w:rsidRPr="00FD17E9">
              <w:rPr>
                <w:rStyle w:val="BoldandItalics"/>
              </w:rPr>
              <w:t>intercepted</w:t>
            </w:r>
            <w:r w:rsidRPr="00FD17E9">
              <w:t xml:space="preserve"> in accordance with the direction finding task.</w:t>
            </w:r>
          </w:p>
          <w:p w:rsidR="00000000" w:rsidRPr="00FD17E9" w:rsidP="00FD17E9">
            <w:pPr>
              <w:pStyle w:val="List"/>
            </w:pPr>
            <w:r w:rsidRPr="00FD17E9">
              <w:t>2.3</w:t>
            </w:r>
            <w:r w:rsidRPr="00FD17E9">
              <w:tab/>
              <w:t>Target emission identity is confirmed in accordance with standard procedures.</w:t>
            </w:r>
          </w:p>
          <w:p w:rsidR="00000000" w:rsidP="00FD17E9">
            <w:pPr>
              <w:pStyle w:val="List"/>
              <w:rPr>
                <w:lang w:val="en-NZ"/>
              </w:rPr>
            </w:pPr>
            <w:r w:rsidRPr="00FD17E9">
              <w:t>2.4</w:t>
            </w:r>
            <w:r w:rsidRPr="00FD17E9">
              <w:tab/>
            </w:r>
            <w:r w:rsidRPr="00FD17E9">
              <w:rPr>
                <w:rStyle w:val="BoldandItalics"/>
              </w:rPr>
              <w:t>Legal requirements</w:t>
            </w:r>
            <w:r w:rsidRPr="00FD17E9">
              <w:t xml:space="preserve"> for interception activities are identified and applied during the process.</w:t>
            </w:r>
          </w:p>
        </w:tc>
      </w:tr>
      <w:tr w:rsidTr="00FD17E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17E9">
            <w:pPr>
              <w:pStyle w:val="List"/>
              <w:rPr>
                <w:lang w:val="en-NZ"/>
              </w:rPr>
            </w:pPr>
            <w:r w:rsidRPr="00FD17E9">
              <w:t>3.</w:t>
            </w:r>
            <w:r w:rsidRPr="00FD17E9">
              <w:tab/>
            </w:r>
            <w:r w:rsidRPr="00FD17E9">
              <w:rPr>
                <w:rStyle w:val="SpecialBold"/>
              </w:rPr>
              <w:t>Locate emission</w:t>
            </w:r>
          </w:p>
        </w:tc>
        <w:tc>
          <w:tcPr>
            <w:tcW w:w="5580" w:type="dxa"/>
            <w:tcBorders>
              <w:top w:val="nil"/>
              <w:left w:val="nil"/>
              <w:bottom w:val="nil"/>
              <w:right w:val="nil"/>
            </w:tcBorders>
            <w:tcMar>
              <w:top w:w="0" w:type="dxa"/>
              <w:left w:w="62" w:type="dxa"/>
              <w:bottom w:w="0" w:type="dxa"/>
              <w:right w:w="62" w:type="dxa"/>
            </w:tcMar>
          </w:tcPr>
          <w:p w:rsidR="00000000" w:rsidRPr="00FD17E9" w:rsidP="00FD17E9">
            <w:pPr>
              <w:pStyle w:val="List"/>
            </w:pPr>
            <w:r w:rsidRPr="00FD17E9">
              <w:t>3.1</w:t>
            </w:r>
            <w:r w:rsidRPr="00FD17E9">
              <w:tab/>
              <w:t>A li</w:t>
            </w:r>
            <w:r w:rsidRPr="00FD17E9">
              <w:t>ne of bearing to the target emission is determined.</w:t>
            </w:r>
          </w:p>
          <w:p w:rsidR="00000000" w:rsidRPr="00FD17E9" w:rsidP="00FD17E9">
            <w:pPr>
              <w:pStyle w:val="List"/>
            </w:pPr>
            <w:r w:rsidRPr="00FD17E9">
              <w:t>3.2</w:t>
            </w:r>
            <w:r w:rsidRPr="00FD17E9">
              <w:tab/>
              <w:t>Methods to improve the accuracy of direction finding measurements are recognised and applied.</w:t>
            </w:r>
          </w:p>
          <w:p w:rsidR="00000000" w:rsidRPr="00FD17E9" w:rsidP="00FD17E9">
            <w:pPr>
              <w:pStyle w:val="List"/>
            </w:pPr>
            <w:r w:rsidRPr="00FD17E9">
              <w:t>3.3</w:t>
            </w:r>
            <w:r w:rsidRPr="00FD17E9">
              <w:tab/>
              <w:t>The direction finding measurement is validated and reported in accordance with standard procedures.</w:t>
            </w:r>
          </w:p>
          <w:p w:rsidR="00000000" w:rsidRPr="00FD17E9" w:rsidP="00FD17E9">
            <w:pPr>
              <w:pStyle w:val="List"/>
            </w:pPr>
            <w:r w:rsidRPr="00FD17E9">
              <w:t>3.</w:t>
            </w:r>
            <w:r w:rsidRPr="00FD17E9">
              <w:t>4</w:t>
            </w:r>
            <w:r w:rsidRPr="00FD17E9">
              <w:tab/>
              <w:t>Direction finding processes are applied to multiple direction finding sites in accordance with standard procedures.</w:t>
            </w:r>
          </w:p>
          <w:p w:rsidR="00000000" w:rsidP="00FD17E9">
            <w:pPr>
              <w:pStyle w:val="List"/>
              <w:rPr>
                <w:lang w:val="en-NZ"/>
              </w:rPr>
            </w:pPr>
            <w:r w:rsidRPr="00FD17E9">
              <w:t>3.5</w:t>
            </w:r>
            <w:r w:rsidRPr="00FD17E9">
              <w:tab/>
              <w:t>A best point estimate of the emission point of origin is determined using lines of bearing communicated from multiple sensors.</w:t>
            </w:r>
          </w:p>
        </w:tc>
      </w:tr>
      <w:tr w:rsidTr="00FD17E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17E9">
            <w:pPr>
              <w:pStyle w:val="List"/>
              <w:rPr>
                <w:lang w:val="en-NZ"/>
              </w:rPr>
            </w:pPr>
            <w:r w:rsidRPr="00FD17E9">
              <w:t>4.</w:t>
            </w:r>
            <w:r w:rsidRPr="00FD17E9">
              <w:tab/>
            </w:r>
            <w:r w:rsidRPr="00FD17E9">
              <w:rPr>
                <w:rStyle w:val="SpecialBold"/>
              </w:rPr>
              <w:t>Rep</w:t>
            </w:r>
            <w:r w:rsidRPr="00FD17E9">
              <w:rPr>
                <w:rStyle w:val="SpecialBold"/>
              </w:rPr>
              <w:t>ort findings</w:t>
            </w:r>
          </w:p>
        </w:tc>
        <w:tc>
          <w:tcPr>
            <w:tcW w:w="5580" w:type="dxa"/>
            <w:tcBorders>
              <w:top w:val="nil"/>
              <w:left w:val="nil"/>
              <w:bottom w:val="nil"/>
              <w:right w:val="nil"/>
            </w:tcBorders>
            <w:tcMar>
              <w:top w:w="0" w:type="dxa"/>
              <w:left w:w="62" w:type="dxa"/>
              <w:bottom w:w="0" w:type="dxa"/>
              <w:right w:w="62" w:type="dxa"/>
            </w:tcMar>
          </w:tcPr>
          <w:p w:rsidR="00000000" w:rsidRPr="00FD17E9" w:rsidP="00FD17E9">
            <w:pPr>
              <w:pStyle w:val="List"/>
            </w:pPr>
            <w:r w:rsidRPr="00FD17E9">
              <w:t>4.1</w:t>
            </w:r>
            <w:r w:rsidRPr="00FD17E9">
              <w:tab/>
              <w:t xml:space="preserve">Direction finding outcomes are </w:t>
            </w:r>
            <w:r w:rsidRPr="00FD17E9">
              <w:rPr>
                <w:rStyle w:val="BoldandItalics"/>
              </w:rPr>
              <w:t>reported</w:t>
            </w:r>
            <w:r w:rsidRPr="00FD17E9">
              <w:t xml:space="preserve"> to relevant personnel in accordance with standard procedures.</w:t>
            </w:r>
          </w:p>
        </w:tc>
      </w:tr>
    </w:tbl>
    <w:p w:rsidR="004B0395" w:rsidP="00FD17E9">
      <w:pPr>
        <w:pStyle w:val="BodyText"/>
      </w:pPr>
    </w:p>
    <w:p w:rsidR="004B0395" w:rsidP="00FD17E9">
      <w:pPr>
        <w:pStyle w:val="BodyText"/>
      </w:pPr>
    </w:p>
    <w:p w:rsidR="00000000" w:rsidRPr="00FD17E9" w:rsidP="00FD17E9">
      <w:pPr>
        <w:pStyle w:val="Heading1"/>
      </w:pPr>
      <w:bookmarkStart w:id="9" w:name="O_523475"/>
      <w:bookmarkEnd w:id="9"/>
      <w:r w:rsidRPr="00FD17E9">
        <w:t>Required Skills and Knowledge</w:t>
      </w:r>
    </w:p>
    <w:tbl>
      <w:tblPr>
        <w:tblW w:w="0" w:type="auto"/>
        <w:tblLayout w:type="fixed"/>
        <w:tblCellMar>
          <w:left w:w="62" w:type="dxa"/>
          <w:right w:w="62" w:type="dxa"/>
        </w:tblCellMar>
        <w:tblLook w:val="0000"/>
      </w:tblPr>
      <w:tblGrid>
        <w:gridCol w:w="8640"/>
      </w:tblGrid>
      <w:tr w:rsidTr="00FD17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17E9">
            <w:pPr>
              <w:pStyle w:val="BodyText"/>
              <w:rPr>
                <w:lang w:val="en-NZ"/>
              </w:rPr>
            </w:pPr>
            <w:r w:rsidRPr="00FD17E9">
              <w:t>This describes the essential skills and knowledge and their level, required for this unit.</w:t>
            </w:r>
          </w:p>
        </w:tc>
      </w:tr>
      <w:tr w:rsidTr="00FD17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17E9">
            <w:pPr>
              <w:pStyle w:val="BodyText"/>
              <w:rPr>
                <w:lang w:val="en-NZ"/>
              </w:rPr>
            </w:pPr>
            <w:r w:rsidRPr="00FD17E9">
              <w:t>Required Skills</w:t>
            </w:r>
          </w:p>
        </w:tc>
      </w:tr>
      <w:tr w:rsidTr="00FD17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D17E9" w:rsidP="00FD17E9">
            <w:pPr>
              <w:pStyle w:val="ListBullet"/>
            </w:pPr>
            <w:r w:rsidRPr="00FD17E9">
              <w:t>listen effectively</w:t>
            </w:r>
          </w:p>
          <w:p w:rsidR="00000000" w:rsidRPr="00FD17E9" w:rsidP="00FD17E9">
            <w:pPr>
              <w:pStyle w:val="ListBullet"/>
            </w:pPr>
            <w:r w:rsidRPr="00FD17E9">
              <w:t>communicate effectively within the workplace</w:t>
            </w:r>
          </w:p>
          <w:p w:rsidR="00000000" w:rsidRPr="00FD17E9" w:rsidP="00FD17E9">
            <w:pPr>
              <w:pStyle w:val="ListBullet"/>
            </w:pPr>
            <w:r w:rsidRPr="00FD17E9">
              <w:t>follow instructions and directives</w:t>
            </w:r>
          </w:p>
          <w:p w:rsidR="00000000" w:rsidRPr="00FD17E9" w:rsidP="00FD17E9">
            <w:pPr>
              <w:pStyle w:val="ListBullet"/>
            </w:pPr>
            <w:r w:rsidRPr="00FD17E9">
              <w:t>report information appropriate to the situation</w:t>
            </w:r>
          </w:p>
          <w:p w:rsidR="00000000" w:rsidRPr="00FD17E9" w:rsidP="00FD17E9">
            <w:pPr>
              <w:pStyle w:val="ListBullet"/>
            </w:pPr>
            <w:r w:rsidRPr="00FD17E9">
              <w:t>assess the situational value of information</w:t>
            </w:r>
          </w:p>
          <w:p w:rsidR="00000000" w:rsidRPr="00FD17E9" w:rsidP="00FD17E9">
            <w:pPr>
              <w:pStyle w:val="ListBullet"/>
            </w:pPr>
            <w:r w:rsidRPr="00FD17E9">
              <w:t>use organisational systems and equipment to conduct direction finding</w:t>
            </w:r>
          </w:p>
          <w:p w:rsidR="00000000" w:rsidP="00FD17E9">
            <w:pPr>
              <w:pStyle w:val="ListBullet"/>
              <w:rPr>
                <w:lang w:val="en-NZ"/>
              </w:rPr>
            </w:pPr>
            <w:r w:rsidRPr="00FD17E9">
              <w:t>triangulate lines of bearing</w:t>
            </w:r>
          </w:p>
        </w:tc>
      </w:tr>
      <w:tr w:rsidTr="00FD17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17E9">
            <w:pPr>
              <w:pStyle w:val="BodyText"/>
              <w:rPr>
                <w:lang w:val="en-NZ"/>
              </w:rPr>
            </w:pPr>
            <w:r w:rsidRPr="00FD17E9">
              <w:t>Required Knowledge</w:t>
            </w:r>
          </w:p>
        </w:tc>
      </w:tr>
      <w:tr w:rsidTr="00FD17E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D17E9" w:rsidP="00FD17E9">
            <w:pPr>
              <w:pStyle w:val="ListBullet"/>
            </w:pPr>
            <w:r w:rsidRPr="00FD17E9">
              <w:t>antenna theory</w:t>
            </w:r>
          </w:p>
          <w:p w:rsidR="00000000" w:rsidRPr="00FD17E9" w:rsidP="00FD17E9">
            <w:pPr>
              <w:pStyle w:val="ListBullet"/>
            </w:pPr>
            <w:r w:rsidRPr="00FD17E9">
              <w:t>communication networks systems and architecture</w:t>
            </w:r>
          </w:p>
          <w:p w:rsidR="00000000" w:rsidRPr="00FD17E9" w:rsidP="00FD17E9">
            <w:pPr>
              <w:pStyle w:val="ListBullet"/>
            </w:pPr>
            <w:r w:rsidRPr="00FD17E9">
              <w:t>electromagnetic spectrum</w:t>
            </w:r>
          </w:p>
          <w:p w:rsidR="00000000" w:rsidRPr="00FD17E9" w:rsidP="00FD17E9">
            <w:pPr>
              <w:pStyle w:val="ListBullet"/>
            </w:pPr>
            <w:r w:rsidRPr="00FD17E9">
              <w:t>ra</w:t>
            </w:r>
            <w:r w:rsidRPr="00FD17E9">
              <w:t>dio frequency propagation</w:t>
            </w:r>
          </w:p>
          <w:p w:rsidR="00000000" w:rsidRPr="00FD17E9" w:rsidP="00FD17E9">
            <w:pPr>
              <w:pStyle w:val="ListBullet"/>
            </w:pPr>
            <w:r w:rsidRPr="00FD17E9">
              <w:t>international time zones and date lines</w:t>
            </w:r>
          </w:p>
          <w:p w:rsidR="00000000" w:rsidRPr="00FD17E9" w:rsidP="00FD17E9">
            <w:pPr>
              <w:pStyle w:val="ListBullet"/>
            </w:pPr>
            <w:r w:rsidRPr="00FD17E9">
              <w:t>organisational guidelines and procedures</w:t>
            </w:r>
          </w:p>
          <w:p w:rsidR="00000000" w:rsidRPr="00FD17E9" w:rsidP="00FD17E9">
            <w:pPr>
              <w:pStyle w:val="ListBullet"/>
            </w:pPr>
            <w:r w:rsidRPr="00FD17E9">
              <w:t>direction finding systems and equipment</w:t>
            </w:r>
          </w:p>
          <w:p w:rsidR="00000000" w:rsidRPr="00FD17E9" w:rsidP="00FD17E9">
            <w:pPr>
              <w:pStyle w:val="ListBullet"/>
            </w:pPr>
            <w:r w:rsidRPr="00FD17E9">
              <w:t>direction finding and geolocation principles</w:t>
            </w:r>
          </w:p>
          <w:p w:rsidR="00000000" w:rsidRPr="00FD17E9" w:rsidP="00FD17E9">
            <w:pPr>
              <w:pStyle w:val="ListBullet"/>
            </w:pPr>
            <w:r w:rsidRPr="00FD17E9">
              <w:t>direction finding procedures</w:t>
            </w:r>
          </w:p>
          <w:p w:rsidR="00000000" w:rsidRPr="00FD17E9" w:rsidP="00FD17E9">
            <w:pPr>
              <w:pStyle w:val="ListBullet"/>
            </w:pPr>
            <w:r w:rsidRPr="00FD17E9">
              <w:t>compliance principles</w:t>
            </w:r>
          </w:p>
          <w:p w:rsidR="00000000" w:rsidRPr="00FD17E9" w:rsidP="00FD17E9">
            <w:pPr>
              <w:pStyle w:val="ListBullet"/>
            </w:pPr>
            <w:r w:rsidRPr="00FD17E9">
              <w:t>telecommunications legislation</w:t>
            </w:r>
          </w:p>
          <w:p w:rsidR="00000000" w:rsidRPr="00FD17E9" w:rsidP="00FD17E9">
            <w:pPr>
              <w:pStyle w:val="ListBullet"/>
            </w:pPr>
            <w:r w:rsidRPr="00FD17E9">
              <w:t>privacy legislation</w:t>
            </w:r>
          </w:p>
          <w:p w:rsidR="00000000" w:rsidRPr="00FD17E9" w:rsidP="00FD17E9">
            <w:pPr>
              <w:pStyle w:val="ListBullet"/>
            </w:pPr>
            <w:r w:rsidRPr="00FD17E9">
              <w:t>reporting procedures and formats</w:t>
            </w:r>
          </w:p>
          <w:p w:rsidR="00000000" w:rsidRPr="00FD17E9" w:rsidP="00FD17E9">
            <w:pPr>
              <w:pStyle w:val="ListBullet"/>
            </w:pPr>
            <w:r w:rsidRPr="00FD17E9">
              <w:t>magnetic to grid conversion</w:t>
            </w:r>
          </w:p>
          <w:p w:rsidR="00000000" w:rsidRPr="00FD17E9" w:rsidP="00FD17E9">
            <w:pPr>
              <w:pStyle w:val="ListBullet"/>
            </w:pPr>
            <w:r w:rsidRPr="00FD17E9">
              <w:t>triangulation mathematical equations</w:t>
            </w:r>
          </w:p>
        </w:tc>
      </w:tr>
    </w:tbl>
    <w:p w:rsidR="00000000" w:rsidRPr="00FD17E9" w:rsidP="00FD17E9">
      <w:pPr>
        <w:pStyle w:val="BodyText"/>
      </w:pPr>
    </w:p>
    <w:p w:rsidR="00000000" w:rsidRPr="00FD17E9" w:rsidP="00FD17E9">
      <w:pPr>
        <w:pStyle w:val="AllowPageBreak"/>
      </w:pPr>
    </w:p>
    <w:p w:rsidR="00000000" w:rsidRPr="00FD17E9" w:rsidP="00FD17E9">
      <w:pPr>
        <w:pStyle w:val="Heading1"/>
      </w:pPr>
      <w:bookmarkStart w:id="10" w:name="O_523476"/>
      <w:bookmarkEnd w:id="10"/>
      <w:r w:rsidRPr="00FD17E9">
        <w:t>Evidence Guide</w:t>
      </w:r>
    </w:p>
    <w:tbl>
      <w:tblPr>
        <w:tblW w:w="0" w:type="auto"/>
        <w:tblLayout w:type="fixed"/>
        <w:tblCellMar>
          <w:left w:w="62" w:type="dxa"/>
          <w:right w:w="62" w:type="dxa"/>
        </w:tblCellMar>
        <w:tblLook w:val="0000"/>
      </w:tblPr>
      <w:tblGrid>
        <w:gridCol w:w="3060"/>
        <w:gridCol w:w="5580"/>
      </w:tblGrid>
      <w:tr w:rsidTr="00FD17E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D17E9">
            <w:pPr>
              <w:pStyle w:val="BodyText"/>
              <w:rPr>
                <w:lang w:val="en-NZ"/>
              </w:rPr>
            </w:pPr>
            <w:r w:rsidRPr="00FD17E9">
              <w:t>The evidence guide provides advice on assessment and must be read in conj</w:t>
            </w:r>
            <w:r w:rsidRPr="00FD17E9">
              <w:t>unction with the Performance Criteria, Required Skills and Knowledge, the Range Statement and the Assessment Guidelines for this Training Package.</w:t>
            </w:r>
          </w:p>
        </w:tc>
      </w:tr>
      <w:tr w:rsidTr="00FD17E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17E9">
            <w:pPr>
              <w:pStyle w:val="BodyText"/>
              <w:rPr>
                <w:lang w:val="en-NZ"/>
              </w:rPr>
            </w:pPr>
            <w:r w:rsidRPr="00FD17E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D17E9" w:rsidP="00FD17E9">
            <w:pPr>
              <w:pStyle w:val="BodyText"/>
            </w:pPr>
            <w:r w:rsidRPr="00FD17E9">
              <w:t>The evidence required to demonstrate competency in this unit must be relevant to and satisfy all of the requirements of the elements and performance criteria of this unit and include demonstration of applying:</w:t>
            </w:r>
          </w:p>
          <w:p w:rsidR="00000000" w:rsidRPr="00FD17E9" w:rsidP="00FD17E9">
            <w:pPr>
              <w:pStyle w:val="ListBullet"/>
            </w:pPr>
            <w:r w:rsidRPr="00FD17E9">
              <w:t>the underpinning knowledge and skills</w:t>
            </w:r>
          </w:p>
          <w:p w:rsidR="00000000" w:rsidRPr="00FD17E9" w:rsidP="00FD17E9">
            <w:pPr>
              <w:pStyle w:val="ListBullet"/>
            </w:pPr>
            <w:r w:rsidRPr="00FD17E9">
              <w:t>relevan</w:t>
            </w:r>
            <w:r w:rsidRPr="00FD17E9">
              <w:t>t legislation and workplace procedures</w:t>
            </w:r>
          </w:p>
          <w:p w:rsidR="00000000" w:rsidRPr="00FD17E9" w:rsidP="00FD17E9">
            <w:pPr>
              <w:pStyle w:val="ListBullet"/>
            </w:pPr>
            <w:r w:rsidRPr="00FD17E9">
              <w:t>other relevant aspects of the range statement</w:t>
            </w:r>
          </w:p>
          <w:p w:rsidR="00000000" w:rsidRPr="00FD17E9" w:rsidP="00FD17E9">
            <w:pPr>
              <w:pStyle w:val="ListBullet"/>
            </w:pPr>
            <w:r w:rsidRPr="00FD17E9">
              <w:t>convert a magnetic line of bearing to a grid line of bearing for triangulation compilation</w:t>
            </w:r>
          </w:p>
          <w:p w:rsidR="00000000" w:rsidRPr="00FD17E9" w:rsidP="00FD17E9">
            <w:pPr>
              <w:pStyle w:val="ListBullet"/>
            </w:pPr>
            <w:r w:rsidRPr="00FD17E9">
              <w:t>triangulate the location of the isolated emission within a specified and accepta</w:t>
            </w:r>
            <w:r w:rsidRPr="00FD17E9">
              <w:t>ble margin of error</w:t>
            </w:r>
          </w:p>
          <w:p w:rsidR="00000000" w:rsidRPr="00FD17E9" w:rsidP="00FD17E9">
            <w:pPr>
              <w:pStyle w:val="BodyText"/>
            </w:pPr>
            <w:r w:rsidRPr="00FD17E9">
              <w:rPr>
                <w:rStyle w:val="SpecialBold"/>
              </w:rPr>
              <w:t>Consistency in performance</w:t>
            </w:r>
          </w:p>
          <w:p w:rsidR="00000000" w:rsidP="00FD17E9">
            <w:pPr>
              <w:pStyle w:val="BodyText"/>
              <w:rPr>
                <w:lang w:val="en-NZ"/>
              </w:rPr>
            </w:pPr>
            <w:r w:rsidRPr="00FD17E9">
              <w:t>Competency should be demonstrated in a range of direction finding activities conducted over time utilising current specialist sensor equipment and procedures to ensure the candidate is assessed across a variet</w:t>
            </w:r>
            <w:r w:rsidRPr="00FD17E9">
              <w:t>y of relevant workplace situations, direction finding systems, and target communications environments.</w:t>
            </w:r>
          </w:p>
        </w:tc>
      </w:tr>
      <w:tr w:rsidTr="00FD17E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D17E9" w:rsidP="00FD17E9">
            <w:pPr>
              <w:pStyle w:val="BodyText"/>
            </w:pPr>
            <w:r w:rsidRPr="00FD17E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D17E9" w:rsidP="00FD17E9">
            <w:pPr>
              <w:pStyle w:val="BodyText"/>
            </w:pPr>
            <w:r w:rsidRPr="00FD17E9">
              <w:rPr>
                <w:rStyle w:val="SpecialBold"/>
              </w:rPr>
              <w:t>Context of assessment</w:t>
            </w:r>
          </w:p>
          <w:p w:rsidR="00000000" w:rsidRPr="00FD17E9" w:rsidP="00FD17E9">
            <w:pPr>
              <w:pStyle w:val="BodyText"/>
            </w:pPr>
            <w:r w:rsidRPr="00FD17E9">
              <w:t>Competency should be assessed in the workplace or in a simulated workplace environment.</w:t>
            </w:r>
          </w:p>
          <w:p w:rsidR="00000000" w:rsidRPr="00FD17E9" w:rsidP="00FD17E9">
            <w:pPr>
              <w:pStyle w:val="BodyText"/>
            </w:pPr>
            <w:r w:rsidRPr="00FD17E9">
              <w:rPr>
                <w:rStyle w:val="SpecialBold"/>
              </w:rPr>
              <w:t>Specific resources for assessment</w:t>
            </w:r>
          </w:p>
          <w:p w:rsidR="00000000" w:rsidRPr="00FD17E9" w:rsidP="00FD17E9">
            <w:pPr>
              <w:pStyle w:val="BodyText"/>
            </w:pPr>
            <w:r w:rsidRPr="00FD17E9">
              <w:t>Access is required to organisational guidelines and procedures</w:t>
            </w:r>
          </w:p>
        </w:tc>
      </w:tr>
    </w:tbl>
    <w:p w:rsidR="004B0395" w:rsidP="00FD17E9">
      <w:pPr>
        <w:pStyle w:val="BodyText"/>
      </w:pPr>
    </w:p>
    <w:p w:rsidR="004B0395" w:rsidP="00FD17E9">
      <w:pPr>
        <w:pStyle w:val="BodyText"/>
      </w:pPr>
    </w:p>
    <w:p w:rsidR="00000000" w:rsidRPr="00FD17E9" w:rsidP="00FD17E9">
      <w:pPr>
        <w:pStyle w:val="Heading1"/>
      </w:pPr>
      <w:bookmarkStart w:id="11" w:name="O_523477"/>
      <w:bookmarkEnd w:id="11"/>
      <w:r w:rsidRPr="00FD17E9">
        <w:t>Range Statement</w:t>
      </w:r>
    </w:p>
    <w:tbl>
      <w:tblPr>
        <w:tblW w:w="0" w:type="auto"/>
        <w:tblLayout w:type="fixed"/>
        <w:tblCellMar>
          <w:left w:w="62" w:type="dxa"/>
          <w:right w:w="62" w:type="dxa"/>
        </w:tblCellMar>
        <w:tblLook w:val="0000"/>
      </w:tblPr>
      <w:tblGrid>
        <w:gridCol w:w="3060"/>
        <w:gridCol w:w="5580"/>
      </w:tblGrid>
      <w:tr w:rsidTr="00FD17E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t xml:space="preserve">The Range Statement relates to the </w:t>
            </w:r>
            <w:r w:rsidRPr="00FD17E9">
              <w:t xml:space="preserve">Unit of Competency as a whole. It allows for different work environments and situations that may affect performance. </w:t>
            </w:r>
            <w:r w:rsidRPr="00FD17E9">
              <w:rPr>
                <w:rStyle w:val="BoldandItalics"/>
              </w:rPr>
              <w:t>Bold italicised</w:t>
            </w:r>
            <w:r w:rsidRPr="00FD17E9">
              <w:t xml:space="preserve"> wording in the Performance Criteria is detailed below.</w:t>
            </w:r>
          </w:p>
        </w:tc>
      </w:tr>
      <w:tr w:rsidTr="00FD17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rPr>
                <w:rStyle w:val="BoldandItalics"/>
              </w:rPr>
              <w:t xml:space="preserve">Equipment </w:t>
            </w:r>
            <w:r w:rsidRPr="00FD17E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ListBullet"/>
            </w:pPr>
            <w:r w:rsidRPr="00FD17E9">
              <w:t>ancillaries</w:t>
            </w:r>
          </w:p>
          <w:p w:rsidR="00000000" w:rsidRPr="00FD17E9" w:rsidP="00FD17E9">
            <w:pPr>
              <w:pStyle w:val="ListBullet"/>
            </w:pPr>
            <w:r w:rsidRPr="00FD17E9">
              <w:t>antennas</w:t>
            </w:r>
          </w:p>
          <w:p w:rsidR="00000000" w:rsidRPr="00FD17E9" w:rsidP="00FD17E9">
            <w:pPr>
              <w:pStyle w:val="ListBullet"/>
            </w:pPr>
            <w:r w:rsidRPr="00FD17E9">
              <w:t>direction finding units</w:t>
            </w:r>
          </w:p>
          <w:p w:rsidR="00000000" w:rsidP="00FD17E9">
            <w:pPr>
              <w:pStyle w:val="ListBullet"/>
              <w:rPr>
                <w:lang w:val="en-NZ"/>
              </w:rPr>
            </w:pPr>
            <w:r w:rsidRPr="00FD17E9">
              <w:t>receivers</w:t>
            </w:r>
          </w:p>
        </w:tc>
      </w:tr>
      <w:tr w:rsidTr="00FD17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rPr>
                <w:rStyle w:val="BoldandItalics"/>
              </w:rPr>
              <w:t xml:space="preserve">Stakeholders </w:t>
            </w:r>
            <w:r w:rsidRPr="00FD17E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ListBullet"/>
            </w:pPr>
            <w:r w:rsidRPr="00FD17E9">
              <w:t>colleagues</w:t>
            </w:r>
          </w:p>
          <w:p w:rsidR="00000000" w:rsidRPr="00FD17E9" w:rsidP="00FD17E9">
            <w:pPr>
              <w:pStyle w:val="ListBullet"/>
            </w:pPr>
            <w:r w:rsidRPr="00FD17E9">
              <w:t>customers</w:t>
            </w:r>
          </w:p>
          <w:p w:rsidR="00000000" w:rsidRPr="00FD17E9" w:rsidP="00FD17E9">
            <w:pPr>
              <w:pStyle w:val="ListBullet"/>
            </w:pPr>
            <w:r w:rsidRPr="00FD17E9">
              <w:t>operators</w:t>
            </w:r>
          </w:p>
          <w:p w:rsidR="00000000" w:rsidRPr="00FD17E9" w:rsidP="00FD17E9">
            <w:pPr>
              <w:pStyle w:val="ListBullet"/>
            </w:pPr>
            <w:r w:rsidRPr="00FD17E9">
              <w:t>supervisors or line managers</w:t>
            </w:r>
          </w:p>
          <w:p w:rsidR="00000000" w:rsidP="00FD17E9">
            <w:pPr>
              <w:pStyle w:val="ListBullet"/>
              <w:rPr>
                <w:lang w:val="en-NZ"/>
              </w:rPr>
            </w:pPr>
            <w:r w:rsidRPr="00FD17E9">
              <w:t>users</w:t>
            </w:r>
          </w:p>
        </w:tc>
      </w:tr>
      <w:tr w:rsidTr="00FD17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rPr>
                <w:rStyle w:val="BoldandItalics"/>
              </w:rPr>
              <w:t xml:space="preserve">Manufacturer specifications </w:t>
            </w:r>
            <w:r w:rsidRPr="00FD17E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ListBullet"/>
            </w:pPr>
            <w:r w:rsidRPr="00FD17E9">
              <w:t>equipment specifications</w:t>
            </w:r>
          </w:p>
          <w:p w:rsidR="00000000" w:rsidP="00FD17E9">
            <w:pPr>
              <w:pStyle w:val="ListBullet"/>
              <w:rPr>
                <w:lang w:val="en-NZ"/>
              </w:rPr>
            </w:pPr>
            <w:r w:rsidRPr="00FD17E9">
              <w:t>operator manuals</w:t>
            </w:r>
          </w:p>
        </w:tc>
      </w:tr>
      <w:tr w:rsidTr="00FD17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rPr>
                <w:rStyle w:val="BoldandItalics"/>
              </w:rPr>
              <w:t xml:space="preserve">Standard procedures </w:t>
            </w:r>
            <w:r w:rsidRPr="00FD17E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ListBullet"/>
            </w:pPr>
            <w:r w:rsidRPr="00FD17E9">
              <w:t>Australian Standards</w:t>
            </w:r>
          </w:p>
          <w:p w:rsidR="00000000" w:rsidRPr="00FD17E9" w:rsidP="00FD17E9">
            <w:pPr>
              <w:pStyle w:val="ListBullet"/>
            </w:pPr>
            <w:r w:rsidRPr="00FD17E9">
              <w:t>Defence Instructions</w:t>
            </w:r>
          </w:p>
          <w:p w:rsidR="00000000" w:rsidRPr="00FD17E9" w:rsidP="00FD17E9">
            <w:pPr>
              <w:pStyle w:val="ListBullet"/>
            </w:pPr>
            <w:r w:rsidRPr="00FD17E9">
              <w:t>doctrinal pamphlets</w:t>
            </w:r>
          </w:p>
          <w:p w:rsidR="00000000" w:rsidRPr="00FD17E9" w:rsidP="00FD17E9">
            <w:pPr>
              <w:pStyle w:val="ListBullet"/>
            </w:pPr>
            <w:r w:rsidRPr="00FD17E9">
              <w:t>job guides, other publications</w:t>
            </w:r>
          </w:p>
          <w:p w:rsidR="00000000" w:rsidRPr="00FD17E9" w:rsidP="00FD17E9">
            <w:pPr>
              <w:pStyle w:val="ListBullet"/>
            </w:pPr>
            <w:r w:rsidRPr="00FD17E9">
              <w:t>manufacturers’ handbooks, industry specifications and technical instructions</w:t>
            </w:r>
          </w:p>
          <w:p w:rsidR="00000000" w:rsidRPr="00FD17E9" w:rsidP="00FD17E9">
            <w:pPr>
              <w:pStyle w:val="ListBullet"/>
            </w:pPr>
            <w:r w:rsidRPr="00FD17E9">
              <w:t>workplace health and safety regulations</w:t>
            </w:r>
          </w:p>
          <w:p w:rsidR="00000000" w:rsidRPr="00FD17E9" w:rsidP="00FD17E9">
            <w:pPr>
              <w:pStyle w:val="ListBullet"/>
            </w:pPr>
            <w:r w:rsidRPr="00FD17E9">
              <w:t>organisational policies and procedures</w:t>
            </w:r>
          </w:p>
          <w:p w:rsidR="00000000" w:rsidRPr="00FD17E9" w:rsidP="00FD17E9">
            <w:pPr>
              <w:pStyle w:val="ListBullet"/>
            </w:pPr>
            <w:r w:rsidRPr="00FD17E9">
              <w:t>procedu</w:t>
            </w:r>
            <w:r w:rsidRPr="00FD17E9">
              <w:t>re manuals</w:t>
            </w:r>
          </w:p>
          <w:p w:rsidR="00000000" w:rsidRPr="00FD17E9" w:rsidP="00FD17E9">
            <w:pPr>
              <w:pStyle w:val="ListBullet"/>
            </w:pPr>
            <w:r w:rsidRPr="00FD17E9">
              <w:t>relevant local government by laws</w:t>
            </w:r>
          </w:p>
          <w:p w:rsidR="00000000" w:rsidRPr="00FD17E9" w:rsidP="00FD17E9">
            <w:pPr>
              <w:pStyle w:val="ListBullet"/>
            </w:pPr>
            <w:r w:rsidRPr="00FD17E9">
              <w:t>relevant state/territory or federal legislation</w:t>
            </w:r>
          </w:p>
          <w:p w:rsidR="00000000" w:rsidRPr="00FD17E9" w:rsidP="00FD17E9">
            <w:pPr>
              <w:pStyle w:val="ListBullet"/>
            </w:pPr>
            <w:r w:rsidRPr="00FD17E9">
              <w:t>Routine Orders</w:t>
            </w:r>
          </w:p>
          <w:p w:rsidR="00000000" w:rsidRPr="00FD17E9" w:rsidP="00FD17E9">
            <w:pPr>
              <w:pStyle w:val="ListBullet"/>
            </w:pPr>
            <w:r w:rsidRPr="00FD17E9">
              <w:t>Standing Operating Procedures</w:t>
            </w:r>
          </w:p>
          <w:p w:rsidR="00000000" w:rsidRPr="00FD17E9" w:rsidP="00FD17E9">
            <w:pPr>
              <w:pStyle w:val="ListBullet"/>
            </w:pPr>
            <w:r w:rsidRPr="00FD17E9">
              <w:t>Standing Orders</w:t>
            </w:r>
          </w:p>
          <w:p w:rsidR="00000000" w:rsidP="00FD17E9">
            <w:pPr>
              <w:pStyle w:val="ListBullet"/>
              <w:rPr>
                <w:lang w:val="en-NZ"/>
              </w:rPr>
            </w:pPr>
            <w:r w:rsidRPr="00FD17E9">
              <w:t>written and verbal orders</w:t>
            </w:r>
          </w:p>
        </w:tc>
      </w:tr>
      <w:tr w:rsidTr="00FD17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rPr>
                <w:rStyle w:val="BoldandItalics"/>
              </w:rPr>
              <w:t xml:space="preserve">Target emission </w:t>
            </w:r>
            <w:r w:rsidRPr="00FD17E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ListBullet"/>
            </w:pPr>
            <w:r w:rsidRPr="00FD17E9">
              <w:t>navigational beacon</w:t>
            </w:r>
          </w:p>
          <w:p w:rsidR="00000000" w:rsidRPr="00FD17E9" w:rsidP="00FD17E9">
            <w:pPr>
              <w:pStyle w:val="ListBullet"/>
            </w:pPr>
            <w:r w:rsidRPr="00FD17E9">
              <w:t>radar transmission</w:t>
            </w:r>
          </w:p>
          <w:p w:rsidR="00000000" w:rsidRPr="00FD17E9" w:rsidP="00FD17E9">
            <w:pPr>
              <w:pStyle w:val="ListBullet"/>
            </w:pPr>
            <w:r w:rsidRPr="00FD17E9">
              <w:t>radio transmission</w:t>
            </w:r>
          </w:p>
          <w:p w:rsidR="00000000" w:rsidRPr="00FD17E9" w:rsidP="00FD17E9">
            <w:pPr>
              <w:pStyle w:val="ListBullet"/>
            </w:pPr>
            <w:r w:rsidRPr="00FD17E9">
              <w:t>search and rescue beacon</w:t>
            </w:r>
          </w:p>
          <w:p w:rsidR="00000000" w:rsidP="00FD17E9">
            <w:pPr>
              <w:pStyle w:val="ListBullet"/>
              <w:rPr>
                <w:lang w:val="en-NZ"/>
              </w:rPr>
            </w:pPr>
            <w:r w:rsidRPr="00FD17E9">
              <w:t>weapon systems</w:t>
            </w:r>
          </w:p>
        </w:tc>
      </w:tr>
      <w:tr w:rsidTr="00FD17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rPr>
                <w:rStyle w:val="BoldandItalics"/>
              </w:rPr>
              <w:t>Legal requirements</w:t>
            </w:r>
            <w:r w:rsidRPr="00FD17E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ListBullet"/>
            </w:pPr>
            <w:r w:rsidRPr="00FD17E9">
              <w:t>international law</w:t>
            </w:r>
          </w:p>
          <w:p w:rsidR="00000000" w:rsidRPr="00FD17E9" w:rsidP="00FD17E9">
            <w:pPr>
              <w:pStyle w:val="ListBullet"/>
            </w:pPr>
            <w:r w:rsidRPr="00FD17E9">
              <w:t>privacy legislation</w:t>
            </w:r>
          </w:p>
          <w:p w:rsidR="00000000" w:rsidP="00FD17E9">
            <w:pPr>
              <w:pStyle w:val="ListBullet"/>
              <w:rPr>
                <w:lang w:val="en-NZ"/>
              </w:rPr>
            </w:pPr>
            <w:r w:rsidRPr="00FD17E9">
              <w:t>telecommunications legislation</w:t>
            </w:r>
          </w:p>
        </w:tc>
      </w:tr>
      <w:tr w:rsidTr="00FD17E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17E9">
            <w:pPr>
              <w:pStyle w:val="BodyText"/>
              <w:rPr>
                <w:lang w:val="en-NZ"/>
              </w:rPr>
            </w:pPr>
            <w:r w:rsidRPr="00FD17E9">
              <w:rPr>
                <w:rStyle w:val="BoldandItalics"/>
              </w:rPr>
              <w:t xml:space="preserve">Reported </w:t>
            </w:r>
            <w:r w:rsidRPr="00FD17E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17E9" w:rsidP="00FD17E9">
            <w:pPr>
              <w:pStyle w:val="ListBullet"/>
            </w:pPr>
            <w:r w:rsidRPr="00FD17E9">
              <w:t>verbal briefs</w:t>
            </w:r>
          </w:p>
          <w:p w:rsidR="00000000" w:rsidRPr="00FD17E9" w:rsidP="00FD17E9">
            <w:pPr>
              <w:pStyle w:val="ListBullet"/>
            </w:pPr>
            <w:r w:rsidRPr="00FD17E9">
              <w:t>written briefs</w:t>
            </w:r>
          </w:p>
          <w:p w:rsidR="00000000" w:rsidRPr="00FD17E9" w:rsidP="00FD17E9">
            <w:pPr>
              <w:pStyle w:val="ListBullet"/>
            </w:pPr>
            <w:r w:rsidRPr="00FD17E9">
              <w:t>verbal organisation specific reports</w:t>
            </w:r>
          </w:p>
          <w:p w:rsidR="00000000" w:rsidRPr="00FD17E9" w:rsidP="00FD17E9">
            <w:pPr>
              <w:pStyle w:val="ListBullet"/>
            </w:pPr>
            <w:r w:rsidRPr="00FD17E9">
              <w:t>written organisation specific reports</w:t>
            </w:r>
          </w:p>
        </w:tc>
      </w:tr>
    </w:tbl>
    <w:p w:rsidR="004B0395" w:rsidP="00FD17E9">
      <w:pPr>
        <w:pStyle w:val="BodyText"/>
      </w:pPr>
    </w:p>
    <w:p w:rsidR="004B0395" w:rsidP="00FD17E9">
      <w:pPr>
        <w:pStyle w:val="BodyText"/>
      </w:pPr>
    </w:p>
    <w:p w:rsidR="00000000" w:rsidRPr="00FD17E9" w:rsidP="00FD17E9">
      <w:pPr>
        <w:pStyle w:val="Heading1"/>
      </w:pPr>
      <w:bookmarkStart w:id="12" w:name="O_523478"/>
      <w:bookmarkEnd w:id="12"/>
      <w:r w:rsidRPr="00FD17E9">
        <w:t>Unit Sector(s)</w:t>
      </w:r>
    </w:p>
    <w:p w:rsidR="00000000" w:rsidRPr="00FD17E9" w:rsidP="00FD17E9">
      <w:pPr>
        <w:pStyle w:val="BodyText"/>
      </w:pPr>
      <w:r w:rsidRPr="00FD17E9">
        <w:t>Not applicable.</w:t>
      </w:r>
    </w:p>
    <w:p w:rsidR="00000000" w:rsidRPr="00FD17E9" w:rsidP="00FD17E9"/>
    <w:sectPr w:rsidSect="00FD1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E9" w:rsidRPr="004B0395" w:rsidP="004B03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95" w:rsidP="00FD17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0395" w:rsidP="00FD17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B0395" w:rsidP="00FD1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E9" w:rsidRPr="004B0395" w:rsidP="004B03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395" w:rsidRPr="002D2AF8" w:rsidP="00FD17E9">
    <w:pPr>
      <w:pStyle w:val="Header"/>
      <w:framePr w:wrap="around"/>
    </w:pPr>
    <w:r>
      <w:fldChar w:fldCharType="begin"/>
    </w:r>
    <w:r>
      <w:instrText xml:space="preserve"> TITLE   \* MERGEFORMAT </w:instrText>
    </w:r>
    <w:r>
      <w:fldChar w:fldCharType="separate"/>
    </w:r>
    <w:r>
      <w:t>DEFIN015 Locate electromagnetic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B0395" w:rsidP="00FD1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6C4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5664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7E9"/>
    <w:pPr>
      <w:spacing w:before="360" w:after="60"/>
      <w:outlineLvl w:val="0"/>
    </w:pPr>
    <w:rPr>
      <w:sz w:val="32"/>
    </w:rPr>
  </w:style>
  <w:style w:type="paragraph" w:styleId="Heading2">
    <w:name w:val="heading 2"/>
    <w:basedOn w:val="HeadingBase"/>
    <w:next w:val="BodyText"/>
    <w:link w:val="Heading2Char"/>
    <w:qFormat/>
    <w:rsid w:val="00FD17E9"/>
    <w:pPr>
      <w:keepLines/>
      <w:spacing w:before="240" w:after="120"/>
      <w:outlineLvl w:val="1"/>
    </w:pPr>
    <w:rPr>
      <w:sz w:val="28"/>
      <w:szCs w:val="40"/>
    </w:rPr>
  </w:style>
  <w:style w:type="paragraph" w:styleId="Heading3">
    <w:name w:val="heading 3"/>
    <w:basedOn w:val="HeadingBase"/>
    <w:next w:val="BodyText"/>
    <w:link w:val="Heading3Char"/>
    <w:qFormat/>
    <w:rsid w:val="00FD17E9"/>
    <w:pPr>
      <w:spacing w:before="180" w:after="120"/>
      <w:outlineLvl w:val="2"/>
    </w:pPr>
    <w:rPr>
      <w:spacing w:val="-10"/>
      <w:kern w:val="32"/>
    </w:rPr>
  </w:style>
  <w:style w:type="paragraph" w:styleId="Heading4">
    <w:name w:val="heading 4"/>
    <w:basedOn w:val="HeadingBase"/>
    <w:next w:val="BodyText"/>
    <w:link w:val="Heading4Char"/>
    <w:qFormat/>
    <w:rsid w:val="00FD17E9"/>
    <w:pPr>
      <w:spacing w:before="160" w:after="120"/>
      <w:outlineLvl w:val="3"/>
    </w:pPr>
    <w:rPr>
      <w:sz w:val="22"/>
    </w:rPr>
  </w:style>
  <w:style w:type="paragraph" w:styleId="Heading5">
    <w:name w:val="heading 5"/>
    <w:basedOn w:val="HeadingBase"/>
    <w:next w:val="Normal"/>
    <w:link w:val="Heading5Char"/>
    <w:qFormat/>
    <w:rsid w:val="00FD17E9"/>
    <w:pPr>
      <w:spacing w:before="80"/>
      <w:outlineLvl w:val="4"/>
    </w:pPr>
    <w:rPr>
      <w:color w:val="918585"/>
      <w:sz w:val="20"/>
    </w:rPr>
  </w:style>
  <w:style w:type="paragraph" w:styleId="Heading6">
    <w:name w:val="heading 6"/>
    <w:basedOn w:val="HeadingBase"/>
    <w:next w:val="Normal"/>
    <w:link w:val="Heading6Char"/>
    <w:qFormat/>
    <w:rsid w:val="00FD17E9"/>
    <w:pPr>
      <w:spacing w:before="60"/>
      <w:outlineLvl w:val="5"/>
    </w:pPr>
    <w:rPr>
      <w:color w:val="918585"/>
      <w:sz w:val="20"/>
    </w:rPr>
  </w:style>
  <w:style w:type="paragraph" w:styleId="Heading7">
    <w:name w:val="heading 7"/>
    <w:basedOn w:val="Normal"/>
    <w:next w:val="Normal"/>
    <w:link w:val="Heading7Char"/>
    <w:qFormat/>
    <w:rsid w:val="00FD17E9"/>
    <w:pPr>
      <w:ind w:left="720"/>
      <w:outlineLvl w:val="6"/>
    </w:pPr>
    <w:rPr>
      <w:i/>
    </w:rPr>
  </w:style>
  <w:style w:type="paragraph" w:styleId="Heading8">
    <w:name w:val="heading 8"/>
    <w:basedOn w:val="Normal"/>
    <w:next w:val="Normal"/>
    <w:link w:val="Heading8Char"/>
    <w:qFormat/>
    <w:rsid w:val="00FD17E9"/>
    <w:pPr>
      <w:ind w:left="720"/>
      <w:outlineLvl w:val="7"/>
    </w:pPr>
    <w:rPr>
      <w:i/>
    </w:rPr>
  </w:style>
  <w:style w:type="paragraph" w:styleId="Heading9">
    <w:name w:val="heading 9"/>
    <w:basedOn w:val="Normal"/>
    <w:next w:val="Normal"/>
    <w:link w:val="Heading9Char"/>
    <w:qFormat/>
    <w:rsid w:val="00FD17E9"/>
    <w:pPr>
      <w:ind w:left="720"/>
      <w:outlineLvl w:val="8"/>
    </w:pPr>
    <w:rPr>
      <w:i/>
    </w:rPr>
  </w:style>
  <w:style w:type="character" w:default="1" w:styleId="DefaultParagraphFont">
    <w:name w:val="Default Paragraph Font"/>
    <w:uiPriority w:val="1"/>
    <w:unhideWhenUsed/>
    <w:rsid w:val="00FD1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7E9"/>
  </w:style>
  <w:style w:type="character" w:customStyle="1" w:styleId="Heading1Char">
    <w:name w:val="Heading 1 Char"/>
    <w:basedOn w:val="DefaultParagraphFont"/>
    <w:link w:val="Heading1"/>
    <w:rsid w:val="00FD17E9"/>
    <w:rPr>
      <w:rFonts w:ascii="Times New Roman" w:eastAsia="Times New Roman" w:hAnsi="Times New Roman" w:cs="Times New Roman"/>
      <w:b/>
      <w:sz w:val="32"/>
      <w:szCs w:val="20"/>
      <w:lang w:eastAsia="en-US"/>
    </w:rPr>
  </w:style>
  <w:style w:type="paragraph" w:styleId="BodyText">
    <w:name w:val="Body Text"/>
    <w:basedOn w:val="Normal"/>
    <w:link w:val="BodyTextChar"/>
    <w:rsid w:val="00FD1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7E9"/>
    <w:rPr>
      <w:rFonts w:ascii="Times New Roman" w:eastAsia="Times New Roman" w:hAnsi="Times New Roman" w:cs="Times New Roman"/>
      <w:sz w:val="24"/>
      <w:lang w:eastAsia="en-US"/>
    </w:rPr>
  </w:style>
  <w:style w:type="paragraph" w:styleId="List">
    <w:name w:val="List"/>
    <w:basedOn w:val="BodyText"/>
    <w:next w:val="BodyText"/>
    <w:rsid w:val="00FD17E9"/>
    <w:pPr>
      <w:tabs>
        <w:tab w:val="left" w:pos="340"/>
      </w:tabs>
      <w:spacing w:before="60" w:after="60"/>
      <w:ind w:left="340" w:hanging="340"/>
    </w:pPr>
  </w:style>
  <w:style w:type="paragraph" w:styleId="ListBullet">
    <w:name w:val="List Bullet"/>
    <w:basedOn w:val="List"/>
    <w:rsid w:val="00FD17E9"/>
    <w:pPr>
      <w:numPr>
        <w:numId w:val="12"/>
      </w:numPr>
      <w:tabs>
        <w:tab w:val="clear" w:pos="340"/>
      </w:tabs>
      <w:spacing w:before="40" w:after="40"/>
    </w:pPr>
  </w:style>
  <w:style w:type="character" w:customStyle="1" w:styleId="SpecialBold">
    <w:name w:val="Special Bold"/>
    <w:basedOn w:val="DefaultParagraphFont"/>
    <w:rsid w:val="00FD17E9"/>
    <w:rPr>
      <w:b/>
      <w:spacing w:val="0"/>
    </w:rPr>
  </w:style>
  <w:style w:type="paragraph" w:customStyle="1" w:styleId="SuperHeading">
    <w:name w:val="SuperHeading"/>
    <w:basedOn w:val="Normal"/>
    <w:rsid w:val="00FD17E9"/>
    <w:pPr>
      <w:spacing w:before="240" w:after="120"/>
      <w:outlineLvl w:val="0"/>
    </w:pPr>
    <w:rPr>
      <w:rFonts w:ascii="Times New Roman" w:hAnsi="Times New Roman"/>
      <w:b/>
      <w:sz w:val="32"/>
    </w:rPr>
  </w:style>
  <w:style w:type="paragraph" w:customStyle="1" w:styleId="AllowPageBreak">
    <w:name w:val="AllowPageBreak"/>
    <w:rsid w:val="00FD17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FD17E9"/>
    <w:pPr>
      <w:spacing w:before="60" w:after="60"/>
    </w:pPr>
  </w:style>
  <w:style w:type="character" w:customStyle="1" w:styleId="BoldandItalics">
    <w:name w:val="Bold and Italics"/>
    <w:qFormat/>
    <w:rsid w:val="00FD17E9"/>
    <w:rPr>
      <w:b/>
      <w:i/>
      <w:u w:val="none"/>
    </w:rPr>
  </w:style>
  <w:style w:type="character" w:customStyle="1" w:styleId="Heading2Char">
    <w:name w:val="Heading 2 Char"/>
    <w:basedOn w:val="DefaultParagraphFont"/>
    <w:link w:val="Heading2"/>
    <w:rsid w:val="00FD1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7E9"/>
    <w:rPr>
      <w:rFonts w:ascii="Courier New" w:eastAsia="Times New Roman" w:hAnsi="Courier New" w:cs="Times New Roman"/>
      <w:i/>
      <w:szCs w:val="20"/>
      <w:lang w:eastAsia="en-US"/>
    </w:rPr>
  </w:style>
  <w:style w:type="paragraph" w:customStyle="1" w:styleId="HeadingBase">
    <w:name w:val="Heading Base"/>
    <w:rsid w:val="00FD1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7E9"/>
    <w:pPr>
      <w:tabs>
        <w:tab w:val="right" w:leader="dot" w:pos="9072"/>
      </w:tabs>
      <w:ind w:left="567"/>
    </w:pPr>
    <w:rPr>
      <w:szCs w:val="22"/>
    </w:rPr>
  </w:style>
  <w:style w:type="paragraph" w:customStyle="1" w:styleId="TOCBase">
    <w:name w:val="TOC Base"/>
    <w:rsid w:val="00FD1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7E9"/>
    <w:pPr>
      <w:tabs>
        <w:tab w:val="right" w:leader="dot" w:pos="9072"/>
      </w:tabs>
      <w:spacing w:before="40" w:after="40"/>
      <w:ind w:left="284"/>
    </w:pPr>
    <w:rPr>
      <w:rFonts w:ascii="Times New Roman" w:hAnsi="Times New Roman"/>
    </w:rPr>
  </w:style>
  <w:style w:type="paragraph" w:styleId="TOC1">
    <w:name w:val="toc 1"/>
    <w:basedOn w:val="TOCBase"/>
    <w:next w:val="Normal"/>
    <w:rsid w:val="00FD1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7E9"/>
    <w:rPr>
      <w:rFonts w:ascii="Times New Roman" w:eastAsia="Times New Roman" w:hAnsi="Times New Roman" w:cs="Times New Roman"/>
      <w:sz w:val="16"/>
      <w:lang w:eastAsia="en-US"/>
    </w:rPr>
  </w:style>
  <w:style w:type="paragraph" w:styleId="Title">
    <w:name w:val="Title"/>
    <w:basedOn w:val="HeadingBase"/>
    <w:link w:val="TitleChar"/>
    <w:qFormat/>
    <w:rsid w:val="00FD17E9"/>
    <w:pPr>
      <w:spacing w:before="5040"/>
      <w:jc w:val="center"/>
    </w:pPr>
    <w:rPr>
      <w:sz w:val="48"/>
      <w:szCs w:val="72"/>
      <w:lang w:val="en-US"/>
    </w:rPr>
  </w:style>
  <w:style w:type="character" w:customStyle="1" w:styleId="TitleChar">
    <w:name w:val="Title Char"/>
    <w:basedOn w:val="DefaultParagraphFont"/>
    <w:link w:val="Title"/>
    <w:rsid w:val="00FD1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7E9"/>
    <w:pPr>
      <w:tabs>
        <w:tab w:val="left" w:pos="3600"/>
        <w:tab w:val="left" w:pos="3958"/>
      </w:tabs>
    </w:pPr>
  </w:style>
  <w:style w:type="paragraph" w:customStyle="1" w:styleId="Note">
    <w:name w:val="Note"/>
    <w:basedOn w:val="BodyText"/>
    <w:rsid w:val="00FD1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7E9"/>
    <w:pPr>
      <w:framePr w:wrap="auto" w:hAnchor="text" w:y="6049"/>
    </w:pPr>
    <w:rPr>
      <w:color w:val="000000"/>
      <w:sz w:val="40"/>
    </w:rPr>
  </w:style>
  <w:style w:type="paragraph" w:customStyle="1" w:styleId="TOCTitle">
    <w:name w:val="TOCTitle"/>
    <w:basedOn w:val="Heading1"/>
    <w:rsid w:val="00FD17E9"/>
    <w:pPr>
      <w:spacing w:after="240"/>
      <w:jc w:val="center"/>
      <w:outlineLvl w:val="9"/>
    </w:pPr>
    <w:rPr>
      <w:caps/>
    </w:rPr>
  </w:style>
  <w:style w:type="paragraph" w:customStyle="1" w:styleId="Version">
    <w:name w:val="Version"/>
    <w:rsid w:val="00FD17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17E9"/>
    <w:pPr>
      <w:numPr>
        <w:numId w:val="13"/>
      </w:numPr>
      <w:tabs>
        <w:tab w:val="clear" w:pos="680"/>
      </w:tabs>
    </w:pPr>
  </w:style>
  <w:style w:type="paragraph" w:styleId="Index1">
    <w:name w:val="index 1"/>
    <w:basedOn w:val="Normal"/>
    <w:next w:val="Normal"/>
    <w:semiHidden/>
    <w:rsid w:val="00FD17E9"/>
    <w:pPr>
      <w:keepNext w:val="0"/>
      <w:tabs>
        <w:tab w:val="right" w:pos="4176"/>
      </w:tabs>
      <w:ind w:left="198" w:hanging="198"/>
    </w:pPr>
    <w:rPr>
      <w:rFonts w:ascii="Garamond" w:hAnsi="Garamond"/>
    </w:rPr>
  </w:style>
  <w:style w:type="paragraph" w:styleId="IndexHeading">
    <w:name w:val="index heading"/>
    <w:basedOn w:val="Normal"/>
    <w:next w:val="Index1"/>
    <w:semiHidden/>
    <w:rsid w:val="00FD17E9"/>
    <w:pPr>
      <w:spacing w:before="120" w:after="120"/>
    </w:pPr>
    <w:rPr>
      <w:rFonts w:ascii="Arial" w:hAnsi="Arial"/>
      <w:b/>
      <w:color w:val="918585"/>
      <w:sz w:val="24"/>
    </w:rPr>
  </w:style>
  <w:style w:type="paragraph" w:styleId="Header">
    <w:name w:val="header"/>
    <w:basedOn w:val="Normal"/>
    <w:link w:val="HeaderChar"/>
    <w:rsid w:val="00FD1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7E9"/>
    <w:rPr>
      <w:rFonts w:ascii="Times New Roman" w:eastAsia="Times New Roman" w:hAnsi="Times New Roman" w:cs="Times New Roman"/>
      <w:sz w:val="16"/>
      <w:szCs w:val="20"/>
      <w:lang w:val="en-GB" w:eastAsia="en-US"/>
    </w:rPr>
  </w:style>
  <w:style w:type="paragraph" w:customStyle="1" w:styleId="Chapter">
    <w:name w:val="Chapter"/>
    <w:basedOn w:val="Normal"/>
    <w:rsid w:val="00FD17E9"/>
    <w:pPr>
      <w:spacing w:before="240"/>
    </w:pPr>
    <w:rPr>
      <w:rFonts w:ascii="Times New Roman" w:hAnsi="Times New Roman"/>
      <w:smallCaps/>
      <w:spacing w:val="80"/>
      <w:sz w:val="28"/>
    </w:rPr>
  </w:style>
  <w:style w:type="paragraph" w:customStyle="1" w:styleId="InChapter">
    <w:name w:val="InChapter"/>
    <w:basedOn w:val="Heading3"/>
    <w:rsid w:val="00FD17E9"/>
    <w:pPr>
      <w:spacing w:after="240"/>
      <w:outlineLvl w:val="9"/>
    </w:pPr>
    <w:rPr>
      <w:noProof/>
    </w:rPr>
  </w:style>
  <w:style w:type="paragraph" w:styleId="Index2">
    <w:name w:val="index 2"/>
    <w:basedOn w:val="Normal"/>
    <w:next w:val="Normal"/>
    <w:semiHidden/>
    <w:rsid w:val="00FD17E9"/>
    <w:pPr>
      <w:tabs>
        <w:tab w:val="right" w:pos="4176"/>
      </w:tabs>
      <w:ind w:left="568" w:hanging="284"/>
    </w:pPr>
    <w:rPr>
      <w:rFonts w:ascii="Garamond" w:hAnsi="Garamond"/>
    </w:rPr>
  </w:style>
  <w:style w:type="paragraph" w:customStyle="1" w:styleId="Byline">
    <w:name w:val="Byline"/>
    <w:rsid w:val="00FD1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7E9"/>
    <w:pPr>
      <w:tabs>
        <w:tab w:val="clear" w:pos="3600"/>
        <w:tab w:val="clear" w:pos="3958"/>
      </w:tabs>
      <w:jc w:val="right"/>
    </w:pPr>
  </w:style>
  <w:style w:type="character" w:styleId="Emphasis">
    <w:name w:val="Emphasis"/>
    <w:basedOn w:val="DefaultParagraphFont"/>
    <w:qFormat/>
    <w:rsid w:val="00FD17E9"/>
    <w:rPr>
      <w:i/>
    </w:rPr>
  </w:style>
  <w:style w:type="paragraph" w:styleId="Caption">
    <w:name w:val="caption"/>
    <w:basedOn w:val="BodyText"/>
    <w:next w:val="Normal"/>
    <w:qFormat/>
    <w:rsid w:val="00FD17E9"/>
    <w:pPr>
      <w:framePr w:w="2268" w:hSpace="181" w:vSpace="181" w:wrap="around" w:vAnchor="text" w:hAnchor="page" w:x="1135" w:y="285" w:anchorLock="1"/>
    </w:pPr>
    <w:rPr>
      <w:i/>
    </w:rPr>
  </w:style>
  <w:style w:type="paragraph" w:customStyle="1" w:styleId="MiniTOCTitle">
    <w:name w:val="MiniTOCTitle"/>
    <w:basedOn w:val="Heading4"/>
    <w:rsid w:val="00FD17E9"/>
    <w:pPr>
      <w:spacing w:before="240"/>
      <w:outlineLvl w:val="9"/>
    </w:pPr>
    <w:rPr>
      <w:noProof/>
      <w:sz w:val="24"/>
    </w:rPr>
  </w:style>
  <w:style w:type="paragraph" w:customStyle="1" w:styleId="MiniTOCItem">
    <w:name w:val="MiniTOCItem"/>
    <w:basedOn w:val="ListBullet"/>
    <w:rsid w:val="00FD17E9"/>
    <w:pPr>
      <w:numPr>
        <w:numId w:val="0"/>
      </w:numPr>
      <w:tabs>
        <w:tab w:val="right" w:leader="dot" w:pos="6521"/>
      </w:tabs>
      <w:spacing w:before="0" w:after="0"/>
    </w:pPr>
  </w:style>
  <w:style w:type="paragraph" w:customStyle="1" w:styleId="TOFTitle">
    <w:name w:val="TOFTitle"/>
    <w:basedOn w:val="TOCTitle"/>
    <w:rsid w:val="00FD17E9"/>
  </w:style>
  <w:style w:type="paragraph" w:styleId="TableofFigures">
    <w:name w:val="table of figures"/>
    <w:basedOn w:val="Normal"/>
    <w:next w:val="Normal"/>
    <w:semiHidden/>
    <w:rsid w:val="00FD17E9"/>
    <w:pPr>
      <w:tabs>
        <w:tab w:val="right" w:leader="dot" w:pos="9072"/>
      </w:tabs>
      <w:ind w:left="970" w:hanging="403"/>
    </w:pPr>
    <w:rPr>
      <w:rFonts w:ascii="Times New Roman" w:hAnsi="Times New Roman"/>
      <w:b/>
    </w:rPr>
  </w:style>
  <w:style w:type="paragraph" w:styleId="ListNumber">
    <w:name w:val="List Number"/>
    <w:basedOn w:val="List"/>
    <w:rsid w:val="00FD17E9"/>
    <w:pPr>
      <w:numPr>
        <w:numId w:val="10"/>
      </w:numPr>
    </w:pPr>
  </w:style>
  <w:style w:type="character" w:customStyle="1" w:styleId="WingdingSymbols">
    <w:name w:val="Wingding Symbols"/>
    <w:rsid w:val="00FD17E9"/>
    <w:rPr>
      <w:rFonts w:ascii="Wingdings" w:hAnsi="Wingdings"/>
    </w:rPr>
  </w:style>
  <w:style w:type="paragraph" w:customStyle="1" w:styleId="TableHeading">
    <w:name w:val="Table Heading"/>
    <w:basedOn w:val="HeadingBase"/>
    <w:rsid w:val="00FD17E9"/>
    <w:pPr>
      <w:keepLines/>
      <w:pBdr>
        <w:bottom w:val="single" w:sz="6" w:space="1" w:color="918585"/>
      </w:pBdr>
      <w:spacing w:before="240"/>
    </w:pPr>
  </w:style>
  <w:style w:type="character" w:customStyle="1" w:styleId="HotSpot">
    <w:name w:val="HotSpot"/>
    <w:rsid w:val="00FD17E9"/>
    <w:rPr>
      <w:color w:val="0033CC"/>
      <w:u w:val="none"/>
    </w:rPr>
  </w:style>
  <w:style w:type="paragraph" w:customStyle="1" w:styleId="BodyTextRight">
    <w:name w:val="Body Text Right"/>
    <w:basedOn w:val="BodyText"/>
    <w:rsid w:val="00FD17E9"/>
    <w:pPr>
      <w:spacing w:before="0" w:after="0"/>
      <w:jc w:val="right"/>
    </w:pPr>
  </w:style>
  <w:style w:type="paragraph" w:styleId="Index3">
    <w:name w:val="index 3"/>
    <w:basedOn w:val="ListNumber2"/>
    <w:next w:val="Normal"/>
    <w:semiHidden/>
    <w:rsid w:val="00FD17E9"/>
    <w:pPr>
      <w:numPr>
        <w:numId w:val="0"/>
      </w:numPr>
      <w:tabs>
        <w:tab w:val="right" w:leader="dot" w:pos="4176"/>
      </w:tabs>
    </w:pPr>
  </w:style>
  <w:style w:type="paragraph" w:styleId="ListNumber2">
    <w:name w:val="List Number 2"/>
    <w:basedOn w:val="List2"/>
    <w:rsid w:val="00FD17E9"/>
    <w:pPr>
      <w:numPr>
        <w:numId w:val="9"/>
      </w:numPr>
      <w:tabs>
        <w:tab w:val="clear" w:pos="1060"/>
      </w:tabs>
    </w:pPr>
  </w:style>
  <w:style w:type="paragraph" w:customStyle="1" w:styleId="MarginNote">
    <w:name w:val="Margin Note"/>
    <w:basedOn w:val="BodyText"/>
    <w:rsid w:val="00FD1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7E9"/>
    <w:rPr>
      <w:sz w:val="32"/>
    </w:rPr>
  </w:style>
  <w:style w:type="paragraph" w:customStyle="1" w:styleId="HeadingProcedure">
    <w:name w:val="Heading Procedure"/>
    <w:basedOn w:val="HeadingBase"/>
    <w:next w:val="Normal"/>
    <w:rsid w:val="00FD17E9"/>
    <w:pPr>
      <w:tabs>
        <w:tab w:val="left" w:pos="0"/>
      </w:tabs>
      <w:spacing w:before="120" w:after="60"/>
    </w:pPr>
    <w:rPr>
      <w:i/>
      <w:color w:val="918585"/>
      <w:sz w:val="22"/>
    </w:rPr>
  </w:style>
  <w:style w:type="paragraph" w:styleId="ListContinue">
    <w:name w:val="List Continue"/>
    <w:basedOn w:val="List"/>
    <w:rsid w:val="00FD17E9"/>
    <w:pPr>
      <w:ind w:firstLine="0"/>
    </w:pPr>
  </w:style>
  <w:style w:type="paragraph" w:customStyle="1" w:styleId="ListNote">
    <w:name w:val="List Note"/>
    <w:basedOn w:val="List"/>
    <w:rsid w:val="00FD17E9"/>
    <w:pPr>
      <w:pBdr>
        <w:top w:val="single" w:sz="6" w:space="2" w:color="918585"/>
        <w:bottom w:val="single" w:sz="6" w:space="2" w:color="918585"/>
      </w:pBdr>
      <w:tabs>
        <w:tab w:val="left" w:pos="1021"/>
      </w:tabs>
      <w:ind w:firstLine="0"/>
    </w:pPr>
  </w:style>
  <w:style w:type="paragraph" w:customStyle="1" w:styleId="Warning">
    <w:name w:val="Warning"/>
    <w:basedOn w:val="BodyText"/>
    <w:rsid w:val="00FD17E9"/>
    <w:pPr>
      <w:shd w:val="clear" w:color="auto" w:fill="D9D9D9"/>
      <w:tabs>
        <w:tab w:val="left" w:pos="992"/>
      </w:tabs>
      <w:ind w:left="119" w:right="119"/>
    </w:pPr>
    <w:rPr>
      <w:sz w:val="20"/>
    </w:rPr>
  </w:style>
  <w:style w:type="paragraph" w:customStyle="1" w:styleId="MarginIcons">
    <w:name w:val="Margin Icons"/>
    <w:basedOn w:val="BodyText"/>
    <w:rsid w:val="00FD1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7E9"/>
    <w:rPr>
      <w:rFonts w:ascii="Courier New" w:hAnsi="Courier New"/>
    </w:rPr>
  </w:style>
  <w:style w:type="paragraph" w:customStyle="1" w:styleId="NoteBullet">
    <w:name w:val="Note Bullet"/>
    <w:basedOn w:val="Note"/>
    <w:rsid w:val="00FD17E9"/>
    <w:pPr>
      <w:tabs>
        <w:tab w:val="clear" w:pos="680"/>
      </w:tabs>
      <w:spacing w:before="60" w:after="60"/>
    </w:pPr>
  </w:style>
  <w:style w:type="paragraph" w:customStyle="1" w:styleId="SubHeading2">
    <w:name w:val="SubHeading2"/>
    <w:basedOn w:val="HeadingBase"/>
    <w:rsid w:val="00FD17E9"/>
    <w:pPr>
      <w:spacing w:before="240" w:after="60"/>
    </w:pPr>
    <w:rPr>
      <w:sz w:val="20"/>
    </w:rPr>
  </w:style>
  <w:style w:type="paragraph" w:customStyle="1" w:styleId="SubHeading1">
    <w:name w:val="SubHeading1"/>
    <w:basedOn w:val="HeadingBase"/>
    <w:rsid w:val="00FD17E9"/>
    <w:pPr>
      <w:spacing w:before="240" w:after="60"/>
    </w:pPr>
    <w:rPr>
      <w:color w:val="918585"/>
      <w:sz w:val="22"/>
    </w:rPr>
  </w:style>
  <w:style w:type="paragraph" w:customStyle="1" w:styleId="SideHeading">
    <w:name w:val="Side Heading"/>
    <w:basedOn w:val="HeadingBase"/>
    <w:rsid w:val="00FD1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7E9"/>
    <w:pPr>
      <w:tabs>
        <w:tab w:val="num" w:pos="360"/>
      </w:tabs>
    </w:pPr>
  </w:style>
  <w:style w:type="paragraph" w:styleId="PlainText">
    <w:name w:val="Plain Text"/>
    <w:basedOn w:val="Normal"/>
    <w:link w:val="PlainTextChar"/>
    <w:rsid w:val="00FD17E9"/>
    <w:rPr>
      <w:sz w:val="20"/>
    </w:rPr>
  </w:style>
  <w:style w:type="character" w:customStyle="1" w:styleId="PlainTextChar">
    <w:name w:val="Plain Text Char"/>
    <w:basedOn w:val="DefaultParagraphFont"/>
    <w:link w:val="PlainText"/>
    <w:rsid w:val="00FD17E9"/>
    <w:rPr>
      <w:rFonts w:ascii="Courier New" w:eastAsia="Times New Roman" w:hAnsi="Courier New" w:cs="Times New Roman"/>
      <w:sz w:val="20"/>
      <w:szCs w:val="20"/>
      <w:lang w:eastAsia="en-US"/>
    </w:rPr>
  </w:style>
  <w:style w:type="character" w:customStyle="1" w:styleId="MenuOption">
    <w:name w:val="Menu Option"/>
    <w:basedOn w:val="DefaultParagraphFont"/>
    <w:rsid w:val="00FD17E9"/>
    <w:rPr>
      <w:b/>
      <w:smallCaps/>
    </w:rPr>
  </w:style>
  <w:style w:type="paragraph" w:customStyle="1" w:styleId="TableListNumber">
    <w:name w:val="Table List Number"/>
    <w:basedOn w:val="ListNumber"/>
    <w:rsid w:val="00FD17E9"/>
    <w:pPr>
      <w:numPr>
        <w:numId w:val="0"/>
      </w:numPr>
    </w:pPr>
  </w:style>
  <w:style w:type="paragraph" w:styleId="TOC4">
    <w:name w:val="toc 4"/>
    <w:basedOn w:val="TOCBase"/>
    <w:next w:val="Normal"/>
    <w:semiHidden/>
    <w:rsid w:val="00FD17E9"/>
    <w:pPr>
      <w:tabs>
        <w:tab w:val="right" w:leader="dot" w:pos="9071"/>
      </w:tabs>
      <w:ind w:left="1701"/>
    </w:pPr>
  </w:style>
  <w:style w:type="paragraph" w:customStyle="1" w:styleId="ListAlpha">
    <w:name w:val="List Alpha"/>
    <w:basedOn w:val="List"/>
    <w:rsid w:val="00FD17E9"/>
    <w:pPr>
      <w:numPr>
        <w:numId w:val="8"/>
      </w:numPr>
    </w:pPr>
  </w:style>
  <w:style w:type="paragraph" w:customStyle="1" w:styleId="ListAlpha2">
    <w:name w:val="List Alpha 2"/>
    <w:basedOn w:val="List2"/>
    <w:rsid w:val="00FD17E9"/>
    <w:pPr>
      <w:numPr>
        <w:numId w:val="7"/>
      </w:numPr>
    </w:pPr>
  </w:style>
  <w:style w:type="paragraph" w:styleId="List2">
    <w:name w:val="List 2"/>
    <w:basedOn w:val="BodyText"/>
    <w:rsid w:val="00FD17E9"/>
    <w:pPr>
      <w:tabs>
        <w:tab w:val="left" w:pos="680"/>
      </w:tabs>
      <w:spacing w:before="60" w:after="60"/>
      <w:ind w:left="680" w:hanging="340"/>
    </w:pPr>
  </w:style>
  <w:style w:type="paragraph" w:styleId="List3">
    <w:name w:val="List 3"/>
    <w:basedOn w:val="BodyText"/>
    <w:rsid w:val="00FD17E9"/>
    <w:pPr>
      <w:tabs>
        <w:tab w:val="left" w:pos="1021"/>
      </w:tabs>
      <w:spacing w:before="60" w:after="60"/>
      <w:ind w:left="1020" w:hanging="340"/>
    </w:pPr>
  </w:style>
  <w:style w:type="paragraph" w:styleId="List4">
    <w:name w:val="List 4"/>
    <w:basedOn w:val="BodyText"/>
    <w:rsid w:val="00FD17E9"/>
    <w:pPr>
      <w:tabs>
        <w:tab w:val="left" w:pos="1361"/>
      </w:tabs>
      <w:spacing w:before="60" w:after="60"/>
      <w:ind w:left="1361" w:hanging="340"/>
    </w:pPr>
  </w:style>
  <w:style w:type="paragraph" w:styleId="List5">
    <w:name w:val="List 5"/>
    <w:basedOn w:val="BodyText"/>
    <w:rsid w:val="00FD17E9"/>
    <w:pPr>
      <w:tabs>
        <w:tab w:val="left" w:pos="1701"/>
      </w:tabs>
      <w:spacing w:before="60" w:after="60"/>
      <w:ind w:left="1701" w:hanging="340"/>
    </w:pPr>
  </w:style>
  <w:style w:type="paragraph" w:styleId="ListBullet3">
    <w:name w:val="List Bullet 3"/>
    <w:basedOn w:val="List3"/>
    <w:rsid w:val="00FD17E9"/>
    <w:pPr>
      <w:numPr>
        <w:numId w:val="14"/>
      </w:numPr>
      <w:tabs>
        <w:tab w:val="clear" w:pos="1021"/>
      </w:tabs>
      <w:ind w:left="1037" w:hanging="357"/>
    </w:pPr>
  </w:style>
  <w:style w:type="paragraph" w:styleId="ListBullet4">
    <w:name w:val="List Bullet 4"/>
    <w:basedOn w:val="List4"/>
    <w:rsid w:val="00FD17E9"/>
    <w:pPr>
      <w:numPr>
        <w:numId w:val="2"/>
      </w:numPr>
    </w:pPr>
  </w:style>
  <w:style w:type="paragraph" w:styleId="ListBullet5">
    <w:name w:val="List Bullet 5"/>
    <w:basedOn w:val="List5"/>
    <w:rsid w:val="00FD17E9"/>
    <w:pPr>
      <w:numPr>
        <w:numId w:val="3"/>
      </w:numPr>
    </w:pPr>
  </w:style>
  <w:style w:type="paragraph" w:styleId="ListContinue2">
    <w:name w:val="List Continue 2"/>
    <w:basedOn w:val="List2"/>
    <w:rsid w:val="00FD17E9"/>
    <w:pPr>
      <w:ind w:firstLine="0"/>
    </w:pPr>
  </w:style>
  <w:style w:type="paragraph" w:styleId="ListContinue3">
    <w:name w:val="List Continue 3"/>
    <w:basedOn w:val="List3"/>
    <w:rsid w:val="00FD17E9"/>
    <w:pPr>
      <w:ind w:left="1021" w:firstLine="0"/>
    </w:pPr>
  </w:style>
  <w:style w:type="paragraph" w:styleId="ListContinue4">
    <w:name w:val="List Continue 4"/>
    <w:basedOn w:val="List4"/>
    <w:rsid w:val="00FD17E9"/>
    <w:pPr>
      <w:ind w:firstLine="0"/>
    </w:pPr>
  </w:style>
  <w:style w:type="paragraph" w:styleId="ListContinue5">
    <w:name w:val="List Continue 5"/>
    <w:basedOn w:val="List5"/>
    <w:rsid w:val="00FD17E9"/>
    <w:pPr>
      <w:ind w:firstLine="0"/>
    </w:pPr>
  </w:style>
  <w:style w:type="paragraph" w:styleId="ListNumber3">
    <w:name w:val="List Number 3"/>
    <w:basedOn w:val="List3"/>
    <w:rsid w:val="00FD17E9"/>
    <w:pPr>
      <w:numPr>
        <w:numId w:val="4"/>
      </w:numPr>
    </w:pPr>
  </w:style>
  <w:style w:type="paragraph" w:styleId="ListNumber4">
    <w:name w:val="List Number 4"/>
    <w:basedOn w:val="List4"/>
    <w:rsid w:val="00FD17E9"/>
    <w:pPr>
      <w:numPr>
        <w:numId w:val="5"/>
      </w:numPr>
    </w:pPr>
  </w:style>
  <w:style w:type="paragraph" w:styleId="ListNumber5">
    <w:name w:val="List Number 5"/>
    <w:basedOn w:val="List5"/>
    <w:rsid w:val="00FD17E9"/>
    <w:pPr>
      <w:numPr>
        <w:numId w:val="6"/>
      </w:numPr>
    </w:pPr>
  </w:style>
  <w:style w:type="paragraph" w:styleId="BlockText">
    <w:name w:val="Block Text"/>
    <w:basedOn w:val="Normal"/>
    <w:rsid w:val="00FD17E9"/>
    <w:pPr>
      <w:spacing w:after="120"/>
      <w:ind w:left="1440" w:right="1440"/>
    </w:pPr>
  </w:style>
  <w:style w:type="character" w:customStyle="1" w:styleId="Subscript">
    <w:name w:val="Subscript"/>
    <w:basedOn w:val="DefaultParagraphFont"/>
    <w:rsid w:val="00FD17E9"/>
    <w:rPr>
      <w:sz w:val="16"/>
      <w:vertAlign w:val="subscript"/>
    </w:rPr>
  </w:style>
  <w:style w:type="character" w:customStyle="1" w:styleId="Superscript">
    <w:name w:val="Superscript"/>
    <w:basedOn w:val="DefaultParagraphFont"/>
    <w:rsid w:val="00FD17E9"/>
    <w:rPr>
      <w:sz w:val="16"/>
      <w:vertAlign w:val="superscript"/>
    </w:rPr>
  </w:style>
  <w:style w:type="character" w:customStyle="1" w:styleId="Symbols">
    <w:name w:val="Symbols"/>
    <w:basedOn w:val="DefaultParagraphFont"/>
    <w:rsid w:val="00FD17E9"/>
    <w:rPr>
      <w:rFonts w:ascii="Symbol" w:hAnsi="Symbol"/>
    </w:rPr>
  </w:style>
  <w:style w:type="character" w:customStyle="1" w:styleId="MenuOptions">
    <w:name w:val="Menu Options"/>
    <w:basedOn w:val="DefaultParagraphFont"/>
    <w:rsid w:val="00FD17E9"/>
    <w:rPr>
      <w:rFonts w:ascii="Arial Narrow" w:hAnsi="Arial Narrow"/>
      <w:smallCaps/>
    </w:rPr>
  </w:style>
  <w:style w:type="character" w:customStyle="1" w:styleId="Buttons">
    <w:name w:val="Buttons"/>
    <w:basedOn w:val="DefaultParagraphFont"/>
    <w:rsid w:val="00FD17E9"/>
    <w:rPr>
      <w:b/>
    </w:rPr>
  </w:style>
  <w:style w:type="character" w:customStyle="1" w:styleId="Underlined">
    <w:name w:val="Underlined"/>
    <w:basedOn w:val="DefaultParagraphFont"/>
    <w:rsid w:val="00FD17E9"/>
    <w:rPr>
      <w:u w:val="single"/>
    </w:rPr>
  </w:style>
  <w:style w:type="paragraph" w:customStyle="1" w:styleId="TableBodyTextRight">
    <w:name w:val="Table Body Text Right"/>
    <w:basedOn w:val="TableBodyText"/>
    <w:rsid w:val="00FD17E9"/>
    <w:pPr>
      <w:widowControl w:val="0"/>
      <w:autoSpaceDE w:val="0"/>
      <w:autoSpaceDN w:val="0"/>
      <w:adjustRightInd w:val="0"/>
      <w:jc w:val="right"/>
    </w:pPr>
    <w:rPr>
      <w:rFonts w:cs="Arial"/>
      <w:szCs w:val="18"/>
    </w:rPr>
  </w:style>
  <w:style w:type="paragraph" w:customStyle="1" w:styleId="CopyrightText">
    <w:name w:val="Copyright Text"/>
    <w:basedOn w:val="BodyText"/>
    <w:rsid w:val="00FD17E9"/>
    <w:rPr>
      <w:sz w:val="18"/>
    </w:rPr>
  </w:style>
  <w:style w:type="paragraph" w:customStyle="1" w:styleId="BodySmallRight">
    <w:name w:val="Body Small Right"/>
    <w:basedOn w:val="BodyTextRight"/>
    <w:rsid w:val="00FD17E9"/>
    <w:rPr>
      <w:sz w:val="18"/>
      <w:szCs w:val="18"/>
    </w:rPr>
  </w:style>
  <w:style w:type="paragraph" w:customStyle="1" w:styleId="MarginEdition">
    <w:name w:val="Margin Edition"/>
    <w:basedOn w:val="MarginNote"/>
    <w:rsid w:val="00FD17E9"/>
    <w:pPr>
      <w:spacing w:before="0" w:after="0"/>
    </w:pPr>
    <w:rPr>
      <w:rFonts w:ascii="Times New Roman" w:hAnsi="Times New Roman"/>
      <w:color w:val="999999"/>
    </w:rPr>
  </w:style>
  <w:style w:type="paragraph" w:customStyle="1" w:styleId="Spacer">
    <w:name w:val="Spacer"/>
    <w:basedOn w:val="Normal"/>
    <w:rsid w:val="00FD17E9"/>
    <w:rPr>
      <w:sz w:val="2"/>
      <w:szCs w:val="2"/>
    </w:rPr>
  </w:style>
  <w:style w:type="character" w:customStyle="1" w:styleId="Small">
    <w:name w:val="Small"/>
    <w:basedOn w:val="DefaultParagraphFont"/>
    <w:rsid w:val="00FD17E9"/>
    <w:rPr>
      <w:sz w:val="16"/>
    </w:rPr>
  </w:style>
  <w:style w:type="paragraph" w:customStyle="1" w:styleId="WideTable">
    <w:name w:val="Wide Table"/>
    <w:basedOn w:val="Normal"/>
    <w:rsid w:val="00FD17E9"/>
    <w:pPr>
      <w:ind w:left="-1418"/>
    </w:pPr>
    <w:rPr>
      <w:sz w:val="2"/>
      <w:szCs w:val="2"/>
    </w:rPr>
  </w:style>
  <w:style w:type="character" w:styleId="PageNumber">
    <w:name w:val="page number"/>
    <w:basedOn w:val="DefaultParagraphFont"/>
    <w:rsid w:val="00FD17E9"/>
  </w:style>
  <w:style w:type="paragraph" w:styleId="Quote">
    <w:name w:val="Quote"/>
    <w:basedOn w:val="Heading1"/>
    <w:link w:val="QuoteChar"/>
    <w:qFormat/>
    <w:rsid w:val="00FD17E9"/>
    <w:rPr>
      <w:b w:val="0"/>
      <w:sz w:val="72"/>
      <w:szCs w:val="72"/>
      <w:lang w:val="en-NZ"/>
    </w:rPr>
  </w:style>
  <w:style w:type="character" w:customStyle="1" w:styleId="QuoteChar">
    <w:name w:val="Quote Char"/>
    <w:basedOn w:val="DefaultParagraphFont"/>
    <w:link w:val="Quote"/>
    <w:rsid w:val="00FD1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7E9"/>
    <w:pPr>
      <w:pageBreakBefore/>
    </w:pPr>
  </w:style>
  <w:style w:type="paragraph" w:customStyle="1" w:styleId="Border">
    <w:name w:val="Border"/>
    <w:basedOn w:val="Normal"/>
    <w:qFormat/>
    <w:rsid w:val="00FD1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7E9"/>
    <w:rPr>
      <w:b/>
      <w:bCs/>
      <w:i/>
      <w:iCs/>
      <w:color w:val="auto"/>
    </w:rPr>
  </w:style>
  <w:style w:type="paragraph" w:styleId="IntenseQuote">
    <w:name w:val="Intense Quote"/>
    <w:basedOn w:val="Normal"/>
    <w:next w:val="Normal"/>
    <w:link w:val="IntenseQuoteChar"/>
    <w:uiPriority w:val="30"/>
    <w:qFormat/>
    <w:rsid w:val="00FD1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7E9"/>
    <w:rPr>
      <w:smallCaps/>
      <w:color w:val="auto"/>
      <w:u w:val="single"/>
    </w:rPr>
  </w:style>
  <w:style w:type="character" w:styleId="IntenseReference">
    <w:name w:val="Intense Reference"/>
    <w:basedOn w:val="DefaultParagraphFont"/>
    <w:uiPriority w:val="32"/>
    <w:qFormat/>
    <w:rsid w:val="00FD17E9"/>
    <w:rPr>
      <w:b/>
      <w:bCs/>
      <w:smallCaps/>
      <w:color w:val="auto"/>
      <w:spacing w:val="5"/>
      <w:u w:val="single"/>
    </w:rPr>
  </w:style>
  <w:style w:type="paragraph" w:customStyle="1" w:styleId="2ColumnHeading">
    <w:name w:val="2Column Heading"/>
    <w:basedOn w:val="BodyText"/>
    <w:qFormat/>
    <w:rsid w:val="00FD17E9"/>
    <w:pPr>
      <w:spacing w:after="60"/>
      <w:ind w:left="-2268"/>
    </w:pPr>
    <w:rPr>
      <w:b/>
    </w:rPr>
  </w:style>
  <w:style w:type="paragraph" w:customStyle="1" w:styleId="Heading1TOC">
    <w:name w:val="Heading1 TOC"/>
    <w:basedOn w:val="Normal"/>
    <w:qFormat/>
    <w:rsid w:val="00FD17E9"/>
    <w:pPr>
      <w:spacing w:before="240" w:after="120"/>
    </w:pPr>
    <w:rPr>
      <w:rFonts w:ascii="Times New Roman" w:hAnsi="Times New Roman"/>
      <w:b/>
      <w:sz w:val="32"/>
    </w:rPr>
  </w:style>
  <w:style w:type="paragraph" w:customStyle="1" w:styleId="Heading2TOC">
    <w:name w:val="Heading2 TOC"/>
    <w:basedOn w:val="Normal"/>
    <w:qFormat/>
    <w:rsid w:val="00FD17E9"/>
    <w:pPr>
      <w:spacing w:before="240" w:after="60"/>
    </w:pPr>
    <w:rPr>
      <w:rFonts w:ascii="Times New Roman" w:hAnsi="Times New Roman"/>
      <w:b/>
      <w:sz w:val="28"/>
    </w:rPr>
  </w:style>
  <w:style w:type="character" w:customStyle="1" w:styleId="Underline">
    <w:name w:val="Underline"/>
    <w:basedOn w:val="DefaultParagraphFont"/>
    <w:qFormat/>
    <w:rsid w:val="00FD17E9"/>
    <w:rPr>
      <w:u w:val="single"/>
    </w:rPr>
  </w:style>
  <w:style w:type="paragraph" w:styleId="BalloonText">
    <w:name w:val="Balloon Text"/>
    <w:basedOn w:val="Normal"/>
    <w:link w:val="BalloonTextChar"/>
    <w:rsid w:val="00FD17E9"/>
    <w:rPr>
      <w:rFonts w:ascii="Tahoma" w:hAnsi="Tahoma" w:cs="Tahoma"/>
      <w:sz w:val="16"/>
      <w:szCs w:val="16"/>
    </w:rPr>
  </w:style>
  <w:style w:type="character" w:customStyle="1" w:styleId="BalloonTextChar">
    <w:name w:val="Balloon Text Char"/>
    <w:basedOn w:val="DefaultParagraphFont"/>
    <w:link w:val="BalloonText"/>
    <w:rsid w:val="00FD1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7E9"/>
    <w:rPr>
      <w:b/>
      <w:color w:val="660033"/>
      <w:spacing w:val="0"/>
    </w:rPr>
  </w:style>
  <w:style w:type="paragraph" w:customStyle="1" w:styleId="Nameditemlist">
    <w:name w:val="Named item list"/>
    <w:basedOn w:val="BodyText"/>
    <w:qFormat/>
    <w:rsid w:val="00FD17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963</Words>
  <Characters>6337</Characters>
  <Application>Microsoft Office Word</Application>
  <DocSecurity>0</DocSecurity>
  <Lines>220</Lines>
  <Paragraphs>140</Paragraphs>
  <ScaleCrop>false</ScaleCrop>
  <Company>Author-it Software Corporation Ltd.</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DEFIN015 Locate electromagnetic emissions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2013-01-25T16:45:00Z</dcterms:created>
  <dcterms:modified xsi:type="dcterms:W3CDTF">2013-01-25T16:45:00Z</dcterms:modified>
</cp:coreProperties>
</file>