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5FC" w:rsidP="009665FC">
      <w:pPr>
        <w:pStyle w:val="Title"/>
      </w:pPr>
      <w:bookmarkStart w:id="0" w:name="_GoBack"/>
      <w:bookmarkEnd w:id="0"/>
      <w:r>
        <w:fldChar w:fldCharType="begin"/>
      </w:r>
      <w:r>
        <w:instrText xml:space="preserve"> TITLE   \* MERGEFORMAT </w:instrText>
      </w:r>
      <w:r>
        <w:fldChar w:fldCharType="separate"/>
      </w:r>
      <w:r>
        <w:t>DEFEO601D Assess explosive ordnance firings</w:t>
      </w:r>
      <w:r>
        <w:fldChar w:fldCharType="end"/>
      </w:r>
    </w:p>
    <w:p w:rsidR="009665FC" w:rsidP="009665FC">
      <w:pPr>
        <w:pStyle w:val="Version"/>
        <w:sectPr w:rsidSect="007B2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2779" w:rsidP="007B2779">
      <w:pPr>
        <w:pStyle w:val="SuperHeading"/>
      </w:pPr>
      <w:r w:rsidRPr="007B2779">
        <w:t>DEFEO601D Assess explosive ordnance firings</w:t>
      </w:r>
    </w:p>
    <w:p w:rsidR="00000000" w:rsidRPr="007B2779" w:rsidP="007B2779">
      <w:pPr>
        <w:pStyle w:val="Heading1"/>
      </w:pPr>
      <w:bookmarkStart w:id="1" w:name="O_519056"/>
      <w:bookmarkEnd w:id="1"/>
      <w:r w:rsidRPr="007B2779">
        <w:t>Modification History</w:t>
      </w:r>
    </w:p>
    <w:tbl>
      <w:tblPr>
        <w:tblW w:w="0" w:type="auto"/>
        <w:tblLayout w:type="fixed"/>
        <w:tblCellMar>
          <w:left w:w="62" w:type="dxa"/>
          <w:right w:w="62" w:type="dxa"/>
        </w:tblCellMar>
        <w:tblLook w:val="0000"/>
      </w:tblPr>
      <w:tblGrid>
        <w:gridCol w:w="1134"/>
        <w:gridCol w:w="1701"/>
        <w:gridCol w:w="4536"/>
      </w:tblGrid>
      <w:tr w:rsidTr="009665FC">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79" w:rsidP="007B2779">
            <w:pPr>
              <w:pStyle w:val="BodyText"/>
            </w:pPr>
            <w:r w:rsidRPr="007B2779">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79" w:rsidP="007B2779">
            <w:pPr>
              <w:pStyle w:val="BodyText"/>
            </w:pPr>
            <w:r w:rsidRPr="007B277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rPr>
                <w:rStyle w:val="SpecialBold"/>
              </w:rPr>
              <w:t xml:space="preserve"> Comments</w:t>
            </w:r>
          </w:p>
        </w:tc>
      </w:tr>
      <w:tr w:rsidTr="009665FC">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t>Layout adjusted.</w:t>
            </w:r>
          </w:p>
        </w:tc>
      </w:tr>
      <w:tr w:rsidTr="009665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79" w:rsidP="007B2779">
            <w:pPr>
              <w:pStyle w:val="BodyText"/>
            </w:pPr>
            <w:r w:rsidRPr="007B2779">
              <w:t>First release.</w:t>
            </w:r>
          </w:p>
        </w:tc>
      </w:tr>
    </w:tbl>
    <w:p w:rsidR="009665FC" w:rsidP="007B2779">
      <w:pPr>
        <w:pStyle w:val="BodyText"/>
      </w:pPr>
    </w:p>
    <w:p w:rsidR="009665FC" w:rsidP="007B2779">
      <w:pPr>
        <w:pStyle w:val="BodyText"/>
      </w:pPr>
    </w:p>
    <w:p w:rsidR="00000000" w:rsidRPr="007B2779" w:rsidP="007B2779">
      <w:pPr>
        <w:pStyle w:val="Heading1"/>
      </w:pPr>
      <w:bookmarkStart w:id="2" w:name="O_519055"/>
      <w:bookmarkEnd w:id="2"/>
      <w:r w:rsidRPr="007B2779">
        <w:t>Unit Descriptor</w:t>
      </w:r>
    </w:p>
    <w:p w:rsidR="00000000" w:rsidRPr="007B2779" w:rsidP="007B2779">
      <w:pPr>
        <w:pStyle w:val="BodyText"/>
      </w:pPr>
      <w:r w:rsidRPr="007B2779">
        <w:t xml:space="preserve">This unit covers the competency required to prepare and fire explosive ordnance and to conduct an assessment of the explosive ordnance firing in support of explosive ordnance assessment. </w:t>
      </w:r>
    </w:p>
    <w:p w:rsidR="00000000" w:rsidRPr="007B2779" w:rsidP="007B2779">
      <w:pPr>
        <w:pStyle w:val="BodyText"/>
      </w:pPr>
      <w:r w:rsidRPr="007B2779">
        <w:t>This unit does not require the use of sophisticated measuring or tra</w:t>
      </w:r>
      <w:r w:rsidRPr="007B2779">
        <w:t>cking equipment.</w:t>
      </w:r>
    </w:p>
    <w:p w:rsidR="00000000" w:rsidRPr="007B2779" w:rsidP="007B2779">
      <w:pPr>
        <w:pStyle w:val="AllowPageBreak"/>
      </w:pPr>
    </w:p>
    <w:p w:rsidR="00000000" w:rsidRPr="007B2779" w:rsidP="007B2779">
      <w:pPr>
        <w:pStyle w:val="Heading1"/>
      </w:pPr>
      <w:bookmarkStart w:id="3" w:name="O_519054"/>
      <w:bookmarkEnd w:id="3"/>
      <w:r w:rsidRPr="007B2779">
        <w:t>Application of the Unit</w:t>
      </w:r>
    </w:p>
    <w:p w:rsidR="00000000" w:rsidRPr="007B2779" w:rsidP="007B2779">
      <w:pPr>
        <w:pStyle w:val="BodyText"/>
      </w:pPr>
      <w:r w:rsidRPr="007B2779">
        <w:t xml:space="preserve">This competency normally applies to the individual who is required to prepare and fire explosive ordnance and conduct an assessment of the explosive ordnance firing in support of explosive ordnance </w:t>
      </w:r>
      <w:r w:rsidRPr="007B2779">
        <w:t>assessment.</w:t>
      </w:r>
    </w:p>
    <w:p w:rsidR="00000000" w:rsidRPr="007B2779" w:rsidP="007B2779">
      <w:pPr>
        <w:pStyle w:val="BodyText"/>
      </w:pPr>
      <w:r w:rsidRPr="007B2779">
        <w:t>Assessment of explosive ordnance is a process used to determine whether the explosive ordnance is performing within specified tolerances.</w:t>
      </w:r>
    </w:p>
    <w:p w:rsidR="00000000" w:rsidRPr="007B2779" w:rsidP="007B2779">
      <w:pPr>
        <w:pStyle w:val="AllowPageBreak"/>
      </w:pPr>
    </w:p>
    <w:p w:rsidR="00000000" w:rsidRPr="007B2779" w:rsidP="007B2779">
      <w:pPr>
        <w:pStyle w:val="Heading1"/>
      </w:pPr>
      <w:bookmarkStart w:id="4" w:name="O_519053"/>
      <w:bookmarkEnd w:id="4"/>
      <w:r w:rsidRPr="007B2779">
        <w:t>Licensing/Regulatory Information</w:t>
      </w:r>
    </w:p>
    <w:p w:rsidR="00000000" w:rsidRPr="007B2779" w:rsidP="007B2779">
      <w:pPr>
        <w:pStyle w:val="BodyText"/>
      </w:pPr>
      <w:r w:rsidRPr="007B2779">
        <w:t>Not applicable.</w:t>
      </w:r>
    </w:p>
    <w:p w:rsidR="00000000" w:rsidRPr="007B2779" w:rsidP="007B2779">
      <w:pPr>
        <w:pStyle w:val="AllowPageBreak"/>
      </w:pPr>
    </w:p>
    <w:p w:rsidR="00000000" w:rsidRPr="007B2779" w:rsidP="007B2779">
      <w:pPr>
        <w:pStyle w:val="Heading1"/>
      </w:pPr>
      <w:bookmarkStart w:id="5" w:name="O_519052"/>
      <w:bookmarkEnd w:id="5"/>
      <w:r w:rsidRPr="007B2779">
        <w:t>Pre-Requisites</w:t>
      </w:r>
    </w:p>
    <w:p w:rsidR="00000000" w:rsidRPr="007B2779" w:rsidP="007B2779">
      <w:pPr>
        <w:pStyle w:val="BodyText"/>
      </w:pPr>
      <w:r w:rsidRPr="007B2779">
        <w:t xml:space="preserve">Not applicable. </w:t>
      </w:r>
    </w:p>
    <w:p w:rsidR="00000000" w:rsidRPr="007B2779" w:rsidP="007B2779">
      <w:pPr>
        <w:pStyle w:val="AllowPageBreak"/>
      </w:pPr>
    </w:p>
    <w:p w:rsidR="00000000" w:rsidRPr="007B2779" w:rsidP="007B2779">
      <w:pPr>
        <w:pStyle w:val="Heading1"/>
      </w:pPr>
      <w:bookmarkStart w:id="6" w:name="O_519051"/>
      <w:bookmarkEnd w:id="6"/>
      <w:r w:rsidRPr="007B2779">
        <w:t>Employability Skills Information</w:t>
      </w:r>
    </w:p>
    <w:p w:rsidR="00000000" w:rsidRPr="007B2779" w:rsidP="007B2779">
      <w:pPr>
        <w:pStyle w:val="BodyText"/>
      </w:pPr>
      <w:r w:rsidRPr="007B2779">
        <w:t>This unit contains employability skills.</w:t>
      </w:r>
    </w:p>
    <w:p w:rsidR="00000000" w:rsidRPr="007B2779" w:rsidP="007B2779">
      <w:pPr>
        <w:pStyle w:val="AllowPageBreak"/>
      </w:pPr>
    </w:p>
    <w:p w:rsidR="00000000" w:rsidRPr="007B2779" w:rsidP="007B2779">
      <w:pPr>
        <w:pStyle w:val="Heading1"/>
      </w:pPr>
      <w:bookmarkStart w:id="7" w:name="O_519050"/>
      <w:bookmarkEnd w:id="7"/>
      <w:r w:rsidRPr="007B2779">
        <w:t>Elements and Performance Criteria Pre-Content</w:t>
      </w:r>
    </w:p>
    <w:tbl>
      <w:tblPr>
        <w:tblW w:w="0" w:type="auto"/>
        <w:tblLayout w:type="fixed"/>
        <w:tblCellMar>
          <w:left w:w="62" w:type="dxa"/>
          <w:right w:w="62" w:type="dxa"/>
        </w:tblCellMar>
        <w:tblLook w:val="0000"/>
      </w:tblPr>
      <w:tblGrid>
        <w:gridCol w:w="3060"/>
        <w:gridCol w:w="5580"/>
      </w:tblGrid>
      <w:tr w:rsidTr="009665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B2779" w:rsidP="007B2779">
            <w:pPr>
              <w:pStyle w:val="BodyText"/>
            </w:pPr>
            <w:r w:rsidRPr="007B2779">
              <w:t>Performance Criteri</w:t>
            </w:r>
            <w:r w:rsidRPr="007B2779">
              <w:t xml:space="preserve">a describe the required performance needed to demonstrate achievement of the element. Where </w:t>
            </w:r>
            <w:r w:rsidRPr="007B2779">
              <w:rPr>
                <w:rStyle w:val="BoldandItalics"/>
              </w:rPr>
              <w:t>bold italicised</w:t>
            </w:r>
            <w:r w:rsidRPr="007B2779">
              <w:t xml:space="preserve"> text is used, further information is detailed in the Range Statement. Assessment of performance is to be consistent with the Evidence Guide.</w:t>
            </w:r>
          </w:p>
        </w:tc>
      </w:tr>
    </w:tbl>
    <w:p w:rsidR="00000000" w:rsidRPr="007B2779" w:rsidP="007B2779">
      <w:pPr>
        <w:pStyle w:val="BodyText"/>
      </w:pPr>
    </w:p>
    <w:p w:rsidR="00000000" w:rsidRPr="007B2779" w:rsidP="007B2779">
      <w:pPr>
        <w:pStyle w:val="AllowPageBreak"/>
      </w:pPr>
    </w:p>
    <w:p w:rsidR="00000000" w:rsidRPr="007B2779" w:rsidP="007B2779">
      <w:pPr>
        <w:pStyle w:val="Heading1"/>
      </w:pPr>
      <w:bookmarkStart w:id="8" w:name="O_519049"/>
      <w:bookmarkEnd w:id="8"/>
      <w:r w:rsidRPr="007B2779">
        <w:t>Elements and Performance Criteria</w:t>
      </w:r>
    </w:p>
    <w:tbl>
      <w:tblPr>
        <w:tblW w:w="0" w:type="auto"/>
        <w:tblLayout w:type="fixed"/>
        <w:tblCellMar>
          <w:left w:w="62" w:type="dxa"/>
          <w:right w:w="62" w:type="dxa"/>
        </w:tblCellMar>
        <w:tblLook w:val="0000"/>
      </w:tblPr>
      <w:tblGrid>
        <w:gridCol w:w="3060"/>
        <w:gridCol w:w="5580"/>
      </w:tblGrid>
      <w:tr w:rsidTr="009665F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B2779" w:rsidP="007B2779">
            <w:pPr>
              <w:pStyle w:val="BodyText"/>
            </w:pPr>
            <w:r w:rsidRPr="007B277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rPr>
                <w:rStyle w:val="SpecialBold"/>
              </w:rPr>
              <w:t>PERFORMANCE CRITERIA</w:t>
            </w:r>
          </w:p>
        </w:tc>
      </w:tr>
      <w:tr w:rsidTr="009665FC">
        <w:tblPrEx>
          <w:tblW w:w="0" w:type="auto"/>
          <w:tblLayout w:type="fixed"/>
          <w:tblCellMar>
            <w:left w:w="62" w:type="dxa"/>
            <w:right w:w="62" w:type="dxa"/>
          </w:tblCellMar>
          <w:tblLook w:val="0000"/>
        </w:tblPrEx>
        <w:trPr>
          <w:trHeight w:val="5243"/>
        </w:trPr>
        <w:tc>
          <w:tcPr>
            <w:tcW w:w="3060" w:type="dxa"/>
            <w:tcBorders>
              <w:top w:val="nil"/>
              <w:left w:val="nil"/>
              <w:bottom w:val="nil"/>
              <w:right w:val="nil"/>
            </w:tcBorders>
            <w:tcMar>
              <w:top w:w="0" w:type="dxa"/>
              <w:left w:w="62" w:type="dxa"/>
              <w:bottom w:w="0" w:type="dxa"/>
              <w:right w:w="62" w:type="dxa"/>
            </w:tcMar>
          </w:tcPr>
          <w:p w:rsidR="00000000" w:rsidP="007B2779">
            <w:pPr>
              <w:pStyle w:val="List"/>
              <w:rPr>
                <w:lang w:val="en-NZ"/>
              </w:rPr>
            </w:pPr>
            <w:r w:rsidRPr="007B2779">
              <w:t>1.</w:t>
            </w:r>
            <w:r w:rsidRPr="007B2779">
              <w:tab/>
            </w:r>
            <w:r w:rsidRPr="007B2779">
              <w:rPr>
                <w:rStyle w:val="SpecialBold"/>
              </w:rPr>
              <w:t>Prepare for firing</w:t>
            </w:r>
          </w:p>
        </w:tc>
        <w:tc>
          <w:tcPr>
            <w:tcW w:w="5580" w:type="dxa"/>
            <w:tcBorders>
              <w:top w:val="nil"/>
              <w:left w:val="nil"/>
              <w:bottom w:val="nil"/>
              <w:right w:val="nil"/>
            </w:tcBorders>
            <w:tcMar>
              <w:top w:w="0" w:type="dxa"/>
              <w:left w:w="62" w:type="dxa"/>
              <w:bottom w:w="0" w:type="dxa"/>
              <w:right w:w="62" w:type="dxa"/>
            </w:tcMar>
          </w:tcPr>
          <w:p w:rsidR="00000000" w:rsidRPr="007B2779" w:rsidP="007B2779">
            <w:pPr>
              <w:pStyle w:val="List"/>
            </w:pPr>
            <w:r w:rsidRPr="007B2779">
              <w:t>1.1</w:t>
            </w:r>
            <w:r w:rsidRPr="007B2779">
              <w:tab/>
              <w:t xml:space="preserve">Requirements for firing of </w:t>
            </w:r>
            <w:r w:rsidRPr="007B2779">
              <w:rPr>
                <w:rStyle w:val="BoldandItalics"/>
              </w:rPr>
              <w:t>explosive ordnance</w:t>
            </w:r>
            <w:r w:rsidRPr="007B2779">
              <w:t xml:space="preserve"> are identified and clarified</w:t>
            </w:r>
          </w:p>
          <w:p w:rsidR="00000000" w:rsidRPr="007B2779" w:rsidP="007B2779">
            <w:pPr>
              <w:pStyle w:val="List"/>
            </w:pPr>
            <w:r w:rsidRPr="007B2779">
              <w:t>1.2</w:t>
            </w:r>
            <w:r w:rsidRPr="007B2779">
              <w:tab/>
            </w:r>
            <w:r w:rsidRPr="007B2779">
              <w:t>Work health and safety (WHS) requirements including those specific to the nature of the ordnance are identified and applied throughout the operation</w:t>
            </w:r>
          </w:p>
          <w:p w:rsidR="00000000" w:rsidRPr="007B2779" w:rsidP="007B2779">
            <w:pPr>
              <w:pStyle w:val="List"/>
            </w:pPr>
            <w:r w:rsidRPr="007B2779">
              <w:t>1.3</w:t>
            </w:r>
            <w:r w:rsidRPr="007B2779">
              <w:tab/>
              <w:t>Firing methods are confirmed in accordance with policy and procedures</w:t>
            </w:r>
          </w:p>
          <w:p w:rsidR="00000000" w:rsidRPr="007B2779" w:rsidP="007B2779">
            <w:pPr>
              <w:pStyle w:val="List"/>
            </w:pPr>
            <w:r w:rsidRPr="007B2779">
              <w:t>1.4</w:t>
            </w:r>
            <w:r w:rsidRPr="007B2779">
              <w:tab/>
              <w:t>Liaison with and notification</w:t>
            </w:r>
            <w:r w:rsidRPr="007B2779">
              <w:t xml:space="preserve"> of parties affected by the firing is undertaken in accordance with Range Standing Orders and local requirements</w:t>
            </w:r>
          </w:p>
          <w:p w:rsidR="00000000" w:rsidRPr="007B2779" w:rsidP="007B2779">
            <w:pPr>
              <w:pStyle w:val="List"/>
            </w:pPr>
            <w:r w:rsidRPr="007B2779">
              <w:t>1.5</w:t>
            </w:r>
            <w:r w:rsidRPr="007B2779">
              <w:tab/>
              <w:t xml:space="preserve">Site/equipment preparation is completed in accordance with </w:t>
            </w:r>
            <w:r w:rsidRPr="007B2779">
              <w:rPr>
                <w:rStyle w:val="BoldandItalics"/>
              </w:rPr>
              <w:t>organisation</w:t>
            </w:r>
            <w:r w:rsidRPr="007B2779">
              <w:t xml:space="preserve"> policy and procedures, and Range Standing Orders</w:t>
            </w:r>
          </w:p>
          <w:p w:rsidR="00000000" w:rsidRPr="007B2779" w:rsidP="007B2779">
            <w:pPr>
              <w:pStyle w:val="List"/>
            </w:pPr>
            <w:r w:rsidRPr="007B2779">
              <w:t>1.6</w:t>
            </w:r>
            <w:r w:rsidRPr="007B2779">
              <w:tab/>
            </w:r>
            <w:r w:rsidRPr="007B2779">
              <w:rPr>
                <w:rStyle w:val="BoldandItalics"/>
              </w:rPr>
              <w:t xml:space="preserve">Net explosive </w:t>
            </w:r>
            <w:r w:rsidRPr="007B2779">
              <w:rPr>
                <w:rStyle w:val="BoldandItalics"/>
              </w:rPr>
              <w:t>quantities</w:t>
            </w:r>
            <w:r w:rsidRPr="007B2779">
              <w:t xml:space="preserve"> are identified, calculated and monitored throughout the operation</w:t>
            </w:r>
          </w:p>
          <w:p w:rsidR="00000000" w:rsidRPr="007B2779" w:rsidP="007B2779">
            <w:pPr>
              <w:pStyle w:val="List"/>
            </w:pPr>
            <w:r w:rsidRPr="007B2779">
              <w:t>1.7</w:t>
            </w:r>
            <w:r w:rsidRPr="007B2779">
              <w:tab/>
            </w:r>
            <w:r w:rsidRPr="007B2779">
              <w:rPr>
                <w:rStyle w:val="BoldandItalics"/>
              </w:rPr>
              <w:t>Compatibility</w:t>
            </w:r>
            <w:r w:rsidRPr="007B2779">
              <w:t xml:space="preserve"> is identified, analysed and applied throughout the operation</w:t>
            </w:r>
          </w:p>
          <w:p w:rsidR="00000000" w:rsidP="007B2779">
            <w:pPr>
              <w:pStyle w:val="List"/>
              <w:rPr>
                <w:lang w:val="en-NZ"/>
              </w:rPr>
            </w:pPr>
            <w:r w:rsidRPr="007B2779">
              <w:t>1.8</w:t>
            </w:r>
            <w:r w:rsidRPr="007B2779">
              <w:tab/>
            </w:r>
            <w:r w:rsidRPr="007B2779">
              <w:rPr>
                <w:rStyle w:val="BoldandItalics"/>
              </w:rPr>
              <w:t>Test equipment</w:t>
            </w:r>
            <w:r w:rsidRPr="007B2779">
              <w:t xml:space="preserve"> is set up in accordance with instructions</w:t>
            </w:r>
          </w:p>
        </w:tc>
      </w:tr>
      <w:tr w:rsidTr="009665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2779">
            <w:pPr>
              <w:pStyle w:val="List"/>
              <w:rPr>
                <w:lang w:val="en-NZ"/>
              </w:rPr>
            </w:pPr>
            <w:r w:rsidRPr="007B2779">
              <w:t>2.</w:t>
            </w:r>
            <w:r w:rsidRPr="007B2779">
              <w:tab/>
            </w:r>
            <w:r w:rsidRPr="007B2779">
              <w:rPr>
                <w:rStyle w:val="SpecialBold"/>
              </w:rPr>
              <w:t>Fire explosive ordnance</w:t>
            </w:r>
          </w:p>
        </w:tc>
        <w:tc>
          <w:tcPr>
            <w:tcW w:w="5580" w:type="dxa"/>
            <w:tcBorders>
              <w:top w:val="nil"/>
              <w:left w:val="nil"/>
              <w:bottom w:val="nil"/>
              <w:right w:val="nil"/>
            </w:tcBorders>
            <w:tcMar>
              <w:top w:w="0" w:type="dxa"/>
              <w:left w:w="62" w:type="dxa"/>
              <w:bottom w:w="0" w:type="dxa"/>
              <w:right w:w="62" w:type="dxa"/>
            </w:tcMar>
          </w:tcPr>
          <w:p w:rsidR="00000000" w:rsidRPr="007B2779" w:rsidP="007B2779">
            <w:pPr>
              <w:pStyle w:val="List"/>
            </w:pPr>
            <w:r w:rsidRPr="007B2779">
              <w:t>2.1</w:t>
            </w:r>
            <w:r w:rsidRPr="007B2779">
              <w:tab/>
              <w:t>Explosi</w:t>
            </w:r>
            <w:r w:rsidRPr="007B2779">
              <w:t>ve ordnance and firing mechanisms are prepared and tested in accordance with Range Standing Orders and organisation policy</w:t>
            </w:r>
          </w:p>
          <w:p w:rsidR="00000000" w:rsidRPr="007B2779" w:rsidP="007B2779">
            <w:pPr>
              <w:pStyle w:val="List"/>
            </w:pPr>
            <w:r w:rsidRPr="007B2779">
              <w:t>2.2</w:t>
            </w:r>
            <w:r w:rsidRPr="007B2779">
              <w:tab/>
              <w:t>Explosive ordnance is fired in accordance with Range Standing Orders and organisation policy</w:t>
            </w:r>
          </w:p>
          <w:p w:rsidR="00000000" w:rsidRPr="007B2779" w:rsidP="007B2779">
            <w:pPr>
              <w:pStyle w:val="List"/>
            </w:pPr>
            <w:r w:rsidRPr="007B2779">
              <w:t>2.3</w:t>
            </w:r>
            <w:r w:rsidRPr="007B2779">
              <w:tab/>
              <w:t>Residue is inspected to ensure a</w:t>
            </w:r>
            <w:r w:rsidRPr="007B2779">
              <w:t>ll explosives have been fired in accordance with Range Standing Orders</w:t>
            </w:r>
          </w:p>
          <w:p w:rsidR="00000000" w:rsidP="007B2779">
            <w:pPr>
              <w:pStyle w:val="List"/>
              <w:rPr>
                <w:lang w:val="en-NZ"/>
              </w:rPr>
            </w:pPr>
            <w:r w:rsidRPr="007B2779">
              <w:t>2.4</w:t>
            </w:r>
            <w:r w:rsidRPr="007B2779">
              <w:tab/>
            </w:r>
            <w:r w:rsidRPr="007B2779">
              <w:rPr>
                <w:rStyle w:val="BoldandItalics"/>
              </w:rPr>
              <w:t>Measurements</w:t>
            </w:r>
            <w:r w:rsidRPr="007B2779">
              <w:t xml:space="preserve"> are taken and recorded in accordance with instructions</w:t>
            </w:r>
          </w:p>
        </w:tc>
      </w:tr>
      <w:tr w:rsidTr="009665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2779">
            <w:pPr>
              <w:pStyle w:val="List"/>
              <w:rPr>
                <w:lang w:val="en-NZ"/>
              </w:rPr>
            </w:pPr>
            <w:r w:rsidRPr="007B2779">
              <w:t>3.</w:t>
            </w:r>
            <w:r w:rsidRPr="007B2779">
              <w:tab/>
            </w:r>
            <w:r w:rsidRPr="007B2779">
              <w:rPr>
                <w:rStyle w:val="SpecialBold"/>
              </w:rPr>
              <w:t>Finalise the firing process</w:t>
            </w:r>
          </w:p>
        </w:tc>
        <w:tc>
          <w:tcPr>
            <w:tcW w:w="5580" w:type="dxa"/>
            <w:tcBorders>
              <w:top w:val="nil"/>
              <w:left w:val="nil"/>
              <w:bottom w:val="nil"/>
              <w:right w:val="nil"/>
            </w:tcBorders>
            <w:tcMar>
              <w:top w:w="0" w:type="dxa"/>
              <w:left w:w="62" w:type="dxa"/>
              <w:bottom w:w="0" w:type="dxa"/>
              <w:right w:w="62" w:type="dxa"/>
            </w:tcMar>
          </w:tcPr>
          <w:p w:rsidR="00000000" w:rsidRPr="007B2779" w:rsidP="007B2779">
            <w:pPr>
              <w:pStyle w:val="List"/>
            </w:pPr>
            <w:r w:rsidRPr="007B2779">
              <w:t>3.1</w:t>
            </w:r>
            <w:r w:rsidRPr="007B2779">
              <w:tab/>
            </w:r>
            <w:r w:rsidRPr="007B2779">
              <w:t>Recorded measurements are assessed against standards and results are documented in accordance with organisation policy and procedures</w:t>
            </w:r>
          </w:p>
          <w:p w:rsidR="00000000" w:rsidRPr="007B2779" w:rsidP="007B2779">
            <w:pPr>
              <w:pStyle w:val="List"/>
            </w:pPr>
            <w:r w:rsidRPr="007B2779">
              <w:t>3.2</w:t>
            </w:r>
            <w:r w:rsidRPr="007B2779">
              <w:tab/>
              <w:t>Site/equipment is maintained and/or refurbished in accordance with policy and procedures, and Range Standing Orders</w:t>
            </w:r>
          </w:p>
          <w:p w:rsidR="00000000" w:rsidRPr="007B2779" w:rsidP="007B2779">
            <w:pPr>
              <w:pStyle w:val="List"/>
            </w:pPr>
            <w:r w:rsidRPr="007B2779">
              <w:t>3.</w:t>
            </w:r>
            <w:r w:rsidRPr="007B2779">
              <w:t>3</w:t>
            </w:r>
            <w:r w:rsidRPr="007B2779">
              <w:tab/>
              <w:t>Documentation and records are maintained in accordance with policy and Range Standing Orders</w:t>
            </w:r>
          </w:p>
        </w:tc>
      </w:tr>
    </w:tbl>
    <w:p w:rsidR="00000000" w:rsidRPr="007B2779" w:rsidP="007B2779">
      <w:pPr>
        <w:pStyle w:val="BodyText"/>
      </w:pPr>
    </w:p>
    <w:p w:rsidR="00000000" w:rsidRPr="007B2779" w:rsidP="007B2779">
      <w:pPr>
        <w:pStyle w:val="AllowPageBreak"/>
      </w:pPr>
    </w:p>
    <w:p w:rsidR="00000000" w:rsidRPr="007B2779" w:rsidP="007B2779">
      <w:pPr>
        <w:pStyle w:val="Heading1"/>
      </w:pPr>
      <w:bookmarkStart w:id="9" w:name="O_519048"/>
      <w:bookmarkEnd w:id="9"/>
      <w:r w:rsidRPr="007B2779">
        <w:t>Required Skills and Knowledge</w:t>
      </w:r>
    </w:p>
    <w:tbl>
      <w:tblPr>
        <w:tblW w:w="0" w:type="auto"/>
        <w:tblLayout w:type="fixed"/>
        <w:tblCellMar>
          <w:left w:w="62" w:type="dxa"/>
          <w:right w:w="62" w:type="dxa"/>
        </w:tblCellMar>
        <w:tblLook w:val="0000"/>
      </w:tblPr>
      <w:tblGrid>
        <w:gridCol w:w="8640"/>
      </w:tblGrid>
      <w:tr w:rsidTr="009665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t>This describes the essential skills and knowledge and their level, required for this unit.</w:t>
            </w:r>
          </w:p>
        </w:tc>
      </w:tr>
      <w:tr w:rsidTr="009665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rPr>
                <w:rStyle w:val="SpecialBold"/>
              </w:rPr>
              <w:t>Required Skills</w:t>
            </w:r>
          </w:p>
        </w:tc>
      </w:tr>
      <w:tr w:rsidTr="009665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2779" w:rsidP="007B2779">
            <w:pPr>
              <w:pStyle w:val="ListBullet"/>
            </w:pPr>
            <w:r w:rsidRPr="007B2779">
              <w:t>ac</w:t>
            </w:r>
            <w:r w:rsidRPr="007B2779">
              <w:t>cess, interpret and apply technical information related to ordnance to be assessed</w:t>
            </w:r>
          </w:p>
          <w:p w:rsidR="00000000" w:rsidRPr="007B2779" w:rsidP="007B2779">
            <w:pPr>
              <w:pStyle w:val="ListBullet"/>
            </w:pPr>
            <w:r w:rsidRPr="007B2779">
              <w:t>apply WHS requirements</w:t>
            </w:r>
          </w:p>
          <w:p w:rsidR="00000000" w:rsidRPr="007B2779" w:rsidP="007B2779">
            <w:pPr>
              <w:pStyle w:val="ListBullet"/>
            </w:pPr>
            <w:r w:rsidRPr="007B2779">
              <w:t>assess measured results</w:t>
            </w:r>
          </w:p>
          <w:p w:rsidR="00000000" w:rsidP="007B2779">
            <w:pPr>
              <w:pStyle w:val="ListBullet"/>
              <w:rPr>
                <w:lang w:val="en-NZ"/>
              </w:rPr>
            </w:pPr>
            <w:r w:rsidRPr="007B2779">
              <w:t>maintain documentation and records</w:t>
            </w:r>
          </w:p>
        </w:tc>
      </w:tr>
      <w:tr w:rsidTr="009665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rPr>
                <w:rStyle w:val="SpecialBold"/>
              </w:rPr>
              <w:t>Required Knowledge</w:t>
            </w:r>
          </w:p>
        </w:tc>
      </w:tr>
      <w:tr w:rsidTr="009665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2779" w:rsidP="007B2779">
            <w:pPr>
              <w:pStyle w:val="ListBullet"/>
            </w:pPr>
            <w:r w:rsidRPr="007B2779">
              <w:t>characteristics, technical capabilities and limitations of explosive ordnance to be assessed</w:t>
            </w:r>
          </w:p>
          <w:p w:rsidR="00000000" w:rsidRPr="007B2779" w:rsidP="007B2779">
            <w:pPr>
              <w:pStyle w:val="ListBullet"/>
            </w:pPr>
            <w:r w:rsidRPr="007B2779">
              <w:t>measuring and recording processes</w:t>
            </w:r>
          </w:p>
          <w:p w:rsidR="00000000" w:rsidRPr="007B2779" w:rsidP="007B2779">
            <w:pPr>
              <w:pStyle w:val="ListBullet"/>
            </w:pPr>
            <w:r w:rsidRPr="007B2779">
              <w:t>relevant WHS requirements</w:t>
            </w:r>
          </w:p>
          <w:p w:rsidR="00000000" w:rsidRPr="007B2779" w:rsidP="007B2779">
            <w:pPr>
              <w:pStyle w:val="ListBullet"/>
            </w:pPr>
            <w:r w:rsidRPr="007B2779">
              <w:t>reporting and documentation requirements</w:t>
            </w:r>
          </w:p>
        </w:tc>
      </w:tr>
    </w:tbl>
    <w:p w:rsidR="00000000" w:rsidRPr="007B2779" w:rsidP="007B2779">
      <w:pPr>
        <w:pStyle w:val="BodyText"/>
      </w:pPr>
    </w:p>
    <w:p w:rsidR="00000000" w:rsidRPr="007B2779" w:rsidP="007B2779">
      <w:pPr>
        <w:pStyle w:val="AllowPageBreak"/>
      </w:pPr>
    </w:p>
    <w:p w:rsidR="00000000" w:rsidRPr="007B2779" w:rsidP="007B2779">
      <w:pPr>
        <w:pStyle w:val="Heading1"/>
      </w:pPr>
      <w:bookmarkStart w:id="10" w:name="O_519047"/>
      <w:bookmarkEnd w:id="10"/>
      <w:r w:rsidRPr="007B2779">
        <w:t>Evidence Guide</w:t>
      </w:r>
    </w:p>
    <w:tbl>
      <w:tblPr>
        <w:tblW w:w="0" w:type="auto"/>
        <w:tblLayout w:type="fixed"/>
        <w:tblCellMar>
          <w:left w:w="62" w:type="dxa"/>
          <w:right w:w="62" w:type="dxa"/>
        </w:tblCellMar>
        <w:tblLook w:val="0000"/>
      </w:tblPr>
      <w:tblGrid>
        <w:gridCol w:w="3060"/>
        <w:gridCol w:w="5580"/>
      </w:tblGrid>
      <w:tr w:rsidTr="009665F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t>The evidence guide provides advice on assessment and must be read in conjunction with the Performance Criteria, Required Skills and Knowledge, the Range Statement and the Assessment Guidelines for this Training Package.</w:t>
            </w:r>
          </w:p>
        </w:tc>
      </w:tr>
      <w:tr w:rsidTr="009665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rPr>
                <w:rStyle w:val="SpecialBold"/>
              </w:rPr>
              <w:t>Critical aspects for assessment an</w:t>
            </w:r>
            <w:r w:rsidRPr="007B2779">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B2779" w:rsidP="007B2779">
            <w:pPr>
              <w:pStyle w:val="BodyText"/>
            </w:pPr>
            <w:r w:rsidRPr="007B2779">
              <w:t>Assessment must confirm the ability to:</w:t>
            </w:r>
          </w:p>
          <w:p w:rsidR="00000000" w:rsidRPr="007B2779" w:rsidP="007B2779">
            <w:pPr>
              <w:pStyle w:val="ListBullet"/>
            </w:pPr>
            <w:r w:rsidRPr="007B2779">
              <w:t>adhere to relevant WHS requirements and operational safety</w:t>
            </w:r>
          </w:p>
          <w:p w:rsidR="00000000" w:rsidRPr="007B2779" w:rsidP="007B2779">
            <w:pPr>
              <w:pStyle w:val="ListBullet"/>
            </w:pPr>
            <w:r w:rsidRPr="007B2779">
              <w:t>identify firing requirements and constraints</w:t>
            </w:r>
          </w:p>
          <w:p w:rsidR="00000000" w:rsidRPr="007B2779" w:rsidP="007B2779">
            <w:pPr>
              <w:pStyle w:val="ListBullet"/>
            </w:pPr>
            <w:r w:rsidRPr="007B2779">
              <w:t xml:space="preserve">accurately record results in accordance with firing </w:t>
            </w:r>
            <w:r w:rsidRPr="007B2779">
              <w:t>instructions</w:t>
            </w:r>
          </w:p>
          <w:p w:rsidR="00000000" w:rsidRPr="007B2779" w:rsidP="007B2779">
            <w:pPr>
              <w:pStyle w:val="ListBullet"/>
            </w:pPr>
            <w:r w:rsidRPr="007B2779">
              <w:t>compile documentation.</w:t>
            </w:r>
          </w:p>
          <w:p w:rsidR="00000000" w:rsidRPr="007B2779" w:rsidP="007B2779">
            <w:pPr>
              <w:pStyle w:val="BodyText"/>
            </w:pPr>
            <w:r w:rsidRPr="007B2779">
              <w:rPr>
                <w:rStyle w:val="SpecialBold"/>
              </w:rPr>
              <w:t>Consistency in performance</w:t>
            </w:r>
          </w:p>
          <w:p w:rsidR="00000000" w:rsidP="007B2779">
            <w:pPr>
              <w:pStyle w:val="BodyText"/>
              <w:rPr>
                <w:lang w:val="en-NZ"/>
              </w:rPr>
            </w:pPr>
            <w:r w:rsidRPr="007B2779">
              <w:t>Competency should be demonstrated in a range of actual or simulated explosive ordnance contexts.</w:t>
            </w:r>
          </w:p>
        </w:tc>
      </w:tr>
      <w:tr w:rsidTr="009665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B2779" w:rsidP="007B2779">
            <w:pPr>
              <w:pStyle w:val="BodyText"/>
            </w:pPr>
            <w:r w:rsidRPr="007B277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B2779" w:rsidP="007B2779">
            <w:pPr>
              <w:pStyle w:val="BodyText"/>
            </w:pPr>
            <w:r w:rsidRPr="007B2779">
              <w:rPr>
                <w:rStyle w:val="SpecialBold"/>
              </w:rPr>
              <w:t>Context of assessment</w:t>
            </w:r>
          </w:p>
          <w:p w:rsidR="00000000" w:rsidRPr="007B2779" w:rsidP="007B2779">
            <w:pPr>
              <w:pStyle w:val="BodyText"/>
            </w:pPr>
            <w:r w:rsidRPr="007B2779">
              <w:t xml:space="preserve">Competency should be assessed in the workplace or under conditions, which accurately simulate a realistic workplace. The competency should be assessed in a wide range of activities related to the storage, distribution and maintenance of explosive ordnance </w:t>
            </w:r>
            <w:r w:rsidRPr="007B2779">
              <w:t>and other hazardous materials.</w:t>
            </w:r>
          </w:p>
          <w:p w:rsidR="00000000" w:rsidRPr="007B2779" w:rsidP="007B2779">
            <w:pPr>
              <w:pStyle w:val="BodyText"/>
            </w:pPr>
            <w:r w:rsidRPr="007B2779">
              <w:rPr>
                <w:rStyle w:val="SpecialBold"/>
              </w:rPr>
              <w:t>Specific resources for assessment</w:t>
            </w:r>
          </w:p>
          <w:p w:rsidR="00000000" w:rsidRPr="007B2779" w:rsidP="007B2779">
            <w:pPr>
              <w:pStyle w:val="BodyText"/>
            </w:pPr>
            <w:r w:rsidRPr="007B2779">
              <w:t>Access is required to:</w:t>
            </w:r>
          </w:p>
          <w:p w:rsidR="00000000" w:rsidP="007B2779">
            <w:pPr>
              <w:pStyle w:val="ListBullet"/>
              <w:rPr>
                <w:lang w:val="en-NZ"/>
              </w:rPr>
            </w:pPr>
            <w:r w:rsidRPr="007B2779">
              <w:t>facilities and resources used in the assessing of explosive ordnance, including a licensed explosive site or range</w:t>
            </w:r>
          </w:p>
        </w:tc>
      </w:tr>
      <w:tr w:rsidTr="009665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2779">
            <w:pPr>
              <w:pStyle w:val="BodyText"/>
              <w:rPr>
                <w:lang w:val="en-NZ"/>
              </w:rPr>
            </w:pPr>
            <w:r w:rsidRPr="007B2779">
              <w:rPr>
                <w:rStyle w:val="SpecialBold"/>
              </w:rPr>
              <w:t>Method of assessment</w:t>
            </w:r>
            <w:r w:rsidRPr="007B2779">
              <w:t xml:space="preserve"> </w:t>
            </w:r>
          </w:p>
        </w:tc>
        <w:tc>
          <w:tcPr>
            <w:tcW w:w="5580" w:type="dxa"/>
            <w:tcBorders>
              <w:top w:val="nil"/>
              <w:left w:val="nil"/>
              <w:bottom w:val="nil"/>
              <w:right w:val="nil"/>
            </w:tcBorders>
            <w:tcMar>
              <w:top w:w="0" w:type="dxa"/>
              <w:left w:w="62" w:type="dxa"/>
              <w:bottom w:w="0" w:type="dxa"/>
              <w:right w:w="62" w:type="dxa"/>
            </w:tcMar>
          </w:tcPr>
          <w:p w:rsidR="00000000" w:rsidRPr="007B2779" w:rsidP="007B2779">
            <w:pPr>
              <w:pStyle w:val="BodyText"/>
            </w:pPr>
            <w:r w:rsidRPr="007B2779">
              <w:t>This unit may be assessed wit</w:t>
            </w:r>
            <w:r w:rsidRPr="007B2779">
              <w:t>h the following unit:</w:t>
            </w:r>
          </w:p>
          <w:p w:rsidR="00000000" w:rsidRPr="007B2779" w:rsidP="007B2779">
            <w:pPr>
              <w:pStyle w:val="ListBullet"/>
            </w:pPr>
            <w:r w:rsidRPr="007B2779">
              <w:t>DEFEO101D Work safely with explosive ordnance</w:t>
            </w:r>
          </w:p>
          <w:p w:rsidR="00000000" w:rsidRPr="007B2779" w:rsidP="007B2779">
            <w:pPr>
              <w:pStyle w:val="BodyText"/>
            </w:pPr>
            <w:r w:rsidRPr="007B2779">
              <w:t xml:space="preserve">In a public safety environment assessment is usually conducted via direct observation in a training environment or in the workplace via subject matter supervision and/or mentoring, which </w:t>
            </w:r>
            <w:r w:rsidRPr="007B2779">
              <w:t>is typically recorded in a competency workbook.</w:t>
            </w:r>
          </w:p>
          <w:p w:rsidR="00000000" w:rsidRPr="007B2779" w:rsidP="007B2779">
            <w:pPr>
              <w:pStyle w:val="BodyText"/>
            </w:pPr>
            <w:r w:rsidRPr="007B2779">
              <w:t>Assessment is completed using appropriately qualified assessors who select the most appropriate method of assessment.</w:t>
            </w:r>
          </w:p>
          <w:p w:rsidR="00000000" w:rsidRPr="007B2779" w:rsidP="007B2779">
            <w:pPr>
              <w:pStyle w:val="BodyText"/>
            </w:pPr>
            <w:r w:rsidRPr="007B2779">
              <w:t>Assessment may occur in an operational environment or in an industry-approved simulated wo</w:t>
            </w:r>
            <w:r w:rsidRPr="007B2779">
              <w:t>rk environment. Forms of assessment that are typically used include:</w:t>
            </w:r>
          </w:p>
          <w:p w:rsidR="00000000" w:rsidRPr="007B2779" w:rsidP="007B2779">
            <w:pPr>
              <w:pStyle w:val="ListBullet"/>
            </w:pPr>
            <w:r w:rsidRPr="007B2779">
              <w:t>direct observation</w:t>
            </w:r>
          </w:p>
          <w:p w:rsidR="00000000" w:rsidRPr="007B2779" w:rsidP="007B2779">
            <w:pPr>
              <w:pStyle w:val="ListBullet"/>
            </w:pPr>
            <w:r w:rsidRPr="007B2779">
              <w:t>interviewing the candidate</w:t>
            </w:r>
          </w:p>
          <w:p w:rsidR="00000000" w:rsidRPr="007B2779" w:rsidP="007B2779">
            <w:pPr>
              <w:pStyle w:val="ListBullet"/>
            </w:pPr>
            <w:r w:rsidRPr="007B2779">
              <w:t>journals and workplace documentation</w:t>
            </w:r>
          </w:p>
          <w:p w:rsidR="00000000" w:rsidRPr="007B2779" w:rsidP="007B2779">
            <w:pPr>
              <w:pStyle w:val="ListBullet"/>
            </w:pPr>
            <w:r w:rsidRPr="007B2779">
              <w:t>third party reports from supervisors</w:t>
            </w:r>
          </w:p>
          <w:p w:rsidR="00000000" w:rsidRPr="007B2779" w:rsidP="007B2779">
            <w:pPr>
              <w:pStyle w:val="ListBullet"/>
            </w:pPr>
            <w:r w:rsidRPr="007B2779">
              <w:t>written or oral questions</w:t>
            </w:r>
          </w:p>
        </w:tc>
      </w:tr>
    </w:tbl>
    <w:p w:rsidR="00000000" w:rsidRPr="007B2779" w:rsidP="007B2779">
      <w:pPr>
        <w:pStyle w:val="BodyText"/>
      </w:pPr>
    </w:p>
    <w:p w:rsidR="00000000" w:rsidRPr="007B2779" w:rsidP="007B2779">
      <w:pPr>
        <w:pStyle w:val="AllowPageBreak"/>
      </w:pPr>
    </w:p>
    <w:p w:rsidR="00000000" w:rsidRPr="007B2779" w:rsidP="007B2779">
      <w:pPr>
        <w:pStyle w:val="Heading1"/>
      </w:pPr>
      <w:bookmarkStart w:id="11" w:name="O_519046"/>
      <w:bookmarkEnd w:id="11"/>
      <w:r w:rsidRPr="007B2779">
        <w:t>Range Statement</w:t>
      </w:r>
    </w:p>
    <w:tbl>
      <w:tblPr>
        <w:tblW w:w="0" w:type="auto"/>
        <w:tblLayout w:type="fixed"/>
        <w:tblCellMar>
          <w:left w:w="62" w:type="dxa"/>
          <w:right w:w="62" w:type="dxa"/>
        </w:tblCellMar>
        <w:tblLook w:val="0000"/>
      </w:tblPr>
      <w:tblGrid>
        <w:gridCol w:w="3060"/>
        <w:gridCol w:w="5580"/>
      </w:tblGrid>
      <w:tr w:rsidTr="009665FC">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t xml:space="preserve">The Range Statement relates to the Unit of Competency as a whole. It allows for different work environments and situations that may affect performance. </w:t>
            </w:r>
            <w:r w:rsidRPr="007B2779">
              <w:rPr>
                <w:rStyle w:val="BoldandItalics"/>
              </w:rPr>
              <w:t>Bold italicised</w:t>
            </w:r>
            <w:r w:rsidRPr="007B2779">
              <w:t xml:space="preserve"> wording in the Performance Criteria is detailed below.</w:t>
            </w:r>
          </w:p>
        </w:tc>
      </w:tr>
      <w:tr w:rsidTr="009665F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rPr>
                <w:rStyle w:val="BoldandItalics"/>
              </w:rPr>
              <w:t>Explosive ordnance to be fired</w:t>
            </w:r>
            <w:r w:rsidRPr="007B277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79" w:rsidP="007B2779">
            <w:pPr>
              <w:pStyle w:val="ListBullet"/>
            </w:pPr>
            <w:r w:rsidRPr="007B2779">
              <w:t xml:space="preserve">Aerial delivered ordnance </w:t>
            </w:r>
          </w:p>
          <w:p w:rsidR="00000000" w:rsidRPr="007B2779" w:rsidP="007B2779">
            <w:pPr>
              <w:pStyle w:val="ListBullet"/>
            </w:pPr>
            <w:r w:rsidRPr="007B2779">
              <w:t>Actuating devices</w:t>
            </w:r>
          </w:p>
          <w:p w:rsidR="00000000" w:rsidRPr="007B2779" w:rsidP="007B2779">
            <w:pPr>
              <w:pStyle w:val="ListBullet"/>
            </w:pPr>
            <w:r w:rsidRPr="007B2779">
              <w:t>Demolition stores</w:t>
            </w:r>
          </w:p>
          <w:p w:rsidR="00000000" w:rsidRPr="007B2779" w:rsidP="007B2779">
            <w:pPr>
              <w:pStyle w:val="ListBullet"/>
            </w:pPr>
            <w:r w:rsidRPr="007B2779">
              <w:t>Free flight rockets</w:t>
            </w:r>
          </w:p>
          <w:p w:rsidR="00000000" w:rsidRPr="007B2779" w:rsidP="007B2779">
            <w:pPr>
              <w:pStyle w:val="ListBullet"/>
            </w:pPr>
            <w:r w:rsidRPr="007B2779">
              <w:t>Fuzes</w:t>
            </w:r>
          </w:p>
          <w:p w:rsidR="00000000" w:rsidRPr="007B2779" w:rsidP="007B2779">
            <w:pPr>
              <w:pStyle w:val="ListBullet"/>
            </w:pPr>
            <w:r w:rsidRPr="007B2779">
              <w:t>Grenades</w:t>
            </w:r>
          </w:p>
          <w:p w:rsidR="00000000" w:rsidRPr="007B2779" w:rsidP="007B2779">
            <w:pPr>
              <w:pStyle w:val="ListBullet"/>
            </w:pPr>
            <w:r w:rsidRPr="007B2779">
              <w:t xml:space="preserve">Guided weapons </w:t>
            </w:r>
          </w:p>
          <w:p w:rsidR="00000000" w:rsidRPr="007B2779" w:rsidP="007B2779">
            <w:pPr>
              <w:pStyle w:val="ListBullet"/>
            </w:pPr>
            <w:r w:rsidRPr="007B2779">
              <w:t xml:space="preserve">Gun ammunition </w:t>
            </w:r>
          </w:p>
          <w:p w:rsidR="00000000" w:rsidRPr="007B2779" w:rsidP="007B2779">
            <w:pPr>
              <w:pStyle w:val="ListBullet"/>
            </w:pPr>
            <w:r w:rsidRPr="007B2779">
              <w:t>Mines</w:t>
            </w:r>
          </w:p>
          <w:p w:rsidR="00000000" w:rsidRPr="007B2779" w:rsidP="007B2779">
            <w:pPr>
              <w:pStyle w:val="ListBullet"/>
            </w:pPr>
            <w:r w:rsidRPr="007B2779">
              <w:t>Missile motors</w:t>
            </w:r>
          </w:p>
          <w:p w:rsidR="00000000" w:rsidRPr="007B2779" w:rsidP="007B2779">
            <w:pPr>
              <w:pStyle w:val="ListBullet"/>
            </w:pPr>
            <w:r w:rsidRPr="007B2779">
              <w:t>Missiles</w:t>
            </w:r>
          </w:p>
          <w:p w:rsidR="00000000" w:rsidRPr="007B2779" w:rsidP="007B2779">
            <w:pPr>
              <w:pStyle w:val="ListBullet"/>
            </w:pPr>
            <w:r w:rsidRPr="007B2779">
              <w:t>Mortars</w:t>
            </w:r>
          </w:p>
          <w:p w:rsidR="00000000" w:rsidRPr="007B2779" w:rsidP="007B2779">
            <w:pPr>
              <w:pStyle w:val="ListBullet"/>
            </w:pPr>
            <w:r w:rsidRPr="007B2779">
              <w:t>Propellants</w:t>
            </w:r>
          </w:p>
          <w:p w:rsidR="00000000" w:rsidRPr="007B2779" w:rsidP="007B2779">
            <w:pPr>
              <w:pStyle w:val="ListBullet"/>
            </w:pPr>
            <w:r w:rsidRPr="007B2779">
              <w:t>Pyrotechnics and countermeasures</w:t>
            </w:r>
          </w:p>
          <w:p w:rsidR="00000000" w:rsidRPr="007B2779" w:rsidP="007B2779">
            <w:pPr>
              <w:pStyle w:val="ListBullet"/>
            </w:pPr>
            <w:r w:rsidRPr="007B2779">
              <w:t xml:space="preserve">Rocket motors </w:t>
            </w:r>
          </w:p>
          <w:p w:rsidR="00000000" w:rsidRPr="007B2779" w:rsidP="007B2779">
            <w:pPr>
              <w:pStyle w:val="ListBullet"/>
            </w:pPr>
            <w:r w:rsidRPr="007B2779">
              <w:t>Small arms ammunition</w:t>
            </w:r>
          </w:p>
          <w:p w:rsidR="00000000" w:rsidP="007B2779">
            <w:pPr>
              <w:pStyle w:val="ListBullet"/>
              <w:rPr>
                <w:lang w:val="en-NZ"/>
              </w:rPr>
            </w:pPr>
            <w:r w:rsidRPr="007B2779">
              <w:t>Warheads</w:t>
            </w:r>
          </w:p>
        </w:tc>
      </w:tr>
      <w:tr w:rsidTr="009665F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rPr>
                <w:rStyle w:val="BoldandItalics"/>
              </w:rPr>
              <w:t xml:space="preserve">Organisation </w:t>
            </w:r>
            <w:r w:rsidRPr="007B277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79" w:rsidP="007B2779">
            <w:pPr>
              <w:pStyle w:val="ListBullet"/>
            </w:pPr>
            <w:r w:rsidRPr="007B2779">
              <w:t>Defence organisation</w:t>
            </w:r>
          </w:p>
          <w:p w:rsidR="00000000" w:rsidRPr="007B2779" w:rsidP="007B2779">
            <w:pPr>
              <w:pStyle w:val="ListBullet"/>
            </w:pPr>
            <w:r w:rsidRPr="007B2779">
              <w:t xml:space="preserve">Enterprises that work with explosive ordnance </w:t>
            </w:r>
          </w:p>
          <w:p w:rsidR="00000000" w:rsidP="007B2779">
            <w:pPr>
              <w:pStyle w:val="ListBullet"/>
              <w:rPr>
                <w:lang w:val="en-NZ"/>
              </w:rPr>
            </w:pPr>
            <w:r w:rsidRPr="007B2779">
              <w:t>Other government departments or instrumentalities that work with explosive ordnance</w:t>
            </w:r>
          </w:p>
        </w:tc>
      </w:tr>
      <w:tr w:rsidTr="009665F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rPr>
                <w:rStyle w:val="BoldandItalics"/>
              </w:rPr>
              <w:t>Net explosive quantities</w:t>
            </w:r>
            <w:r w:rsidRPr="007B277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ListBullet"/>
              <w:rPr>
                <w:lang w:val="en-NZ"/>
              </w:rPr>
            </w:pPr>
            <w:r w:rsidRPr="007B2779">
              <w:t>The e</w:t>
            </w:r>
            <w:r w:rsidRPr="007B2779">
              <w:t>xplosive capacity calculated in a wide range of activities related to the storage, distribution and maintenance of explosive ordnance</w:t>
            </w:r>
          </w:p>
        </w:tc>
      </w:tr>
      <w:tr w:rsidTr="009665F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rPr>
                <w:rStyle w:val="BoldandItalics"/>
              </w:rPr>
              <w:t xml:space="preserve">Compatibility </w:t>
            </w:r>
            <w:r w:rsidRPr="007B2779">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ListBullet"/>
              <w:rPr>
                <w:lang w:val="en-NZ"/>
              </w:rPr>
            </w:pPr>
            <w:r w:rsidRPr="007B2779">
              <w:t>Assessed in a wide range of activities related to the storage, distribution and maintenance of explosi</w:t>
            </w:r>
            <w:r w:rsidRPr="007B2779">
              <w:t>ve ordnance and other hazardous materials</w:t>
            </w:r>
          </w:p>
        </w:tc>
      </w:tr>
      <w:tr w:rsidTr="009665F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rPr>
                <w:rStyle w:val="BoldandItalics"/>
              </w:rPr>
              <w:t>Test equipment</w:t>
            </w:r>
            <w:r w:rsidRPr="007B277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79" w:rsidP="007B2779">
            <w:pPr>
              <w:pStyle w:val="ListBullet"/>
            </w:pPr>
            <w:r w:rsidRPr="007B2779">
              <w:t>Cameras</w:t>
            </w:r>
          </w:p>
          <w:p w:rsidR="00000000" w:rsidRPr="007B2779" w:rsidP="007B2779">
            <w:pPr>
              <w:pStyle w:val="ListBullet"/>
            </w:pPr>
            <w:r w:rsidRPr="007B2779">
              <w:t xml:space="preserve">Targets </w:t>
            </w:r>
          </w:p>
          <w:p w:rsidR="00000000" w:rsidP="007B2779">
            <w:pPr>
              <w:pStyle w:val="ListBullet"/>
              <w:rPr>
                <w:lang w:val="en-NZ"/>
              </w:rPr>
            </w:pPr>
            <w:r w:rsidRPr="007B2779">
              <w:t>Timing devices</w:t>
            </w:r>
          </w:p>
        </w:tc>
      </w:tr>
      <w:tr w:rsidTr="009665F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79">
            <w:pPr>
              <w:pStyle w:val="BodyText"/>
              <w:rPr>
                <w:lang w:val="en-NZ"/>
              </w:rPr>
            </w:pPr>
            <w:r w:rsidRPr="007B2779">
              <w:rPr>
                <w:rStyle w:val="BoldandItalics"/>
              </w:rPr>
              <w:t xml:space="preserve">Measurements </w:t>
            </w:r>
            <w:r w:rsidRPr="007B277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79" w:rsidP="007B2779">
            <w:pPr>
              <w:pStyle w:val="ListBullet"/>
            </w:pPr>
            <w:r w:rsidRPr="007B2779">
              <w:t>Continuity tests on electric detonators</w:t>
            </w:r>
          </w:p>
          <w:p w:rsidR="00000000" w:rsidRPr="007B2779" w:rsidP="007B2779">
            <w:pPr>
              <w:pStyle w:val="ListBullet"/>
            </w:pPr>
            <w:r w:rsidRPr="007B2779">
              <w:t>Continuity test on firing cables</w:t>
            </w:r>
          </w:p>
          <w:p w:rsidR="00000000" w:rsidRPr="007B2779" w:rsidP="007B2779">
            <w:pPr>
              <w:pStyle w:val="ListBullet"/>
            </w:pPr>
            <w:r w:rsidRPr="007B2779">
              <w:t>Discontinuity test on firing cables</w:t>
            </w:r>
          </w:p>
          <w:p w:rsidR="00000000" w:rsidRPr="007B2779" w:rsidP="007B2779">
            <w:pPr>
              <w:pStyle w:val="ListBullet"/>
            </w:pPr>
            <w:r w:rsidRPr="007B2779">
              <w:t>Fuze actions</w:t>
            </w:r>
          </w:p>
          <w:p w:rsidR="00000000" w:rsidRPr="007B2779" w:rsidP="007B2779">
            <w:pPr>
              <w:pStyle w:val="ListBullet"/>
            </w:pPr>
            <w:r w:rsidRPr="007B2779">
              <w:t>Resistance test on firing cables</w:t>
            </w:r>
          </w:p>
          <w:p w:rsidR="00000000" w:rsidRPr="007B2779" w:rsidP="007B2779">
            <w:pPr>
              <w:pStyle w:val="ListBullet"/>
            </w:pPr>
            <w:r w:rsidRPr="007B2779">
              <w:t>Safety fuze burning times</w:t>
            </w:r>
          </w:p>
          <w:p w:rsidR="00000000" w:rsidRPr="007B2779" w:rsidP="007B2779">
            <w:pPr>
              <w:pStyle w:val="ListBullet"/>
            </w:pPr>
            <w:r w:rsidRPr="007B2779">
              <w:t>Weapon/ammunition/warhead/explosive effect</w:t>
            </w:r>
          </w:p>
        </w:tc>
      </w:tr>
    </w:tbl>
    <w:p w:rsidR="00000000" w:rsidRPr="007B2779" w:rsidP="007B2779">
      <w:pPr>
        <w:pStyle w:val="BodyText"/>
      </w:pPr>
    </w:p>
    <w:p w:rsidR="00000000" w:rsidRPr="007B2779" w:rsidP="007B2779">
      <w:pPr>
        <w:pStyle w:val="AllowPageBreak"/>
      </w:pPr>
    </w:p>
    <w:p w:rsidR="00000000" w:rsidRPr="007B2779" w:rsidP="007B2779">
      <w:pPr>
        <w:pStyle w:val="Heading1"/>
      </w:pPr>
      <w:bookmarkStart w:id="12" w:name="O_519045"/>
      <w:bookmarkEnd w:id="12"/>
      <w:r w:rsidRPr="007B2779">
        <w:t>Unit Sector(s)</w:t>
      </w:r>
    </w:p>
    <w:p w:rsidR="00000000" w:rsidRPr="007B2779" w:rsidP="007B2779">
      <w:pPr>
        <w:pStyle w:val="BodyText"/>
      </w:pPr>
      <w:r w:rsidRPr="007B2779">
        <w:t>Not applicable.</w:t>
      </w:r>
    </w:p>
    <w:p w:rsidR="00000000" w:rsidRPr="007B2779" w:rsidP="007B2779"/>
    <w:sectPr w:rsidSect="007B2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79" w:rsidRPr="009665FC" w:rsidP="009665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FC" w:rsidP="007B27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65FC" w:rsidP="007B27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665FC" w:rsidP="007B2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79" w:rsidRPr="009665FC" w:rsidP="009665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FC" w:rsidRPr="002D2AF8" w:rsidP="007B2779">
    <w:pPr>
      <w:pStyle w:val="Header"/>
      <w:framePr w:wrap="around"/>
    </w:pPr>
    <w:r>
      <w:fldChar w:fldCharType="begin"/>
    </w:r>
    <w:r>
      <w:instrText xml:space="preserve"> TITLE   \* MERGEFORMAT </w:instrText>
    </w:r>
    <w:r>
      <w:fldChar w:fldCharType="separate"/>
    </w:r>
    <w:r>
      <w:t>DEFEO601D Assess explosive ordnance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9665FC" w:rsidP="007B2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1EA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6E2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779"/>
    <w:pPr>
      <w:spacing w:before="360" w:after="60"/>
      <w:outlineLvl w:val="0"/>
    </w:pPr>
    <w:rPr>
      <w:sz w:val="32"/>
    </w:rPr>
  </w:style>
  <w:style w:type="paragraph" w:styleId="Heading2">
    <w:name w:val="heading 2"/>
    <w:basedOn w:val="HeadingBase"/>
    <w:next w:val="BodyText"/>
    <w:link w:val="Heading2Char"/>
    <w:qFormat/>
    <w:rsid w:val="007B2779"/>
    <w:pPr>
      <w:keepLines/>
      <w:spacing w:before="240" w:after="120"/>
      <w:outlineLvl w:val="1"/>
    </w:pPr>
    <w:rPr>
      <w:sz w:val="28"/>
      <w:szCs w:val="40"/>
    </w:rPr>
  </w:style>
  <w:style w:type="paragraph" w:styleId="Heading3">
    <w:name w:val="heading 3"/>
    <w:basedOn w:val="HeadingBase"/>
    <w:next w:val="BodyText"/>
    <w:link w:val="Heading3Char"/>
    <w:qFormat/>
    <w:rsid w:val="007B2779"/>
    <w:pPr>
      <w:spacing w:before="180" w:after="120"/>
      <w:outlineLvl w:val="2"/>
    </w:pPr>
    <w:rPr>
      <w:spacing w:val="-10"/>
      <w:kern w:val="32"/>
    </w:rPr>
  </w:style>
  <w:style w:type="paragraph" w:styleId="Heading4">
    <w:name w:val="heading 4"/>
    <w:basedOn w:val="HeadingBase"/>
    <w:next w:val="BodyText"/>
    <w:link w:val="Heading4Char"/>
    <w:qFormat/>
    <w:rsid w:val="007B2779"/>
    <w:pPr>
      <w:spacing w:before="160" w:after="120"/>
      <w:outlineLvl w:val="3"/>
    </w:pPr>
    <w:rPr>
      <w:sz w:val="22"/>
    </w:rPr>
  </w:style>
  <w:style w:type="paragraph" w:styleId="Heading5">
    <w:name w:val="heading 5"/>
    <w:basedOn w:val="HeadingBase"/>
    <w:next w:val="Normal"/>
    <w:link w:val="Heading5Char"/>
    <w:qFormat/>
    <w:rsid w:val="007B2779"/>
    <w:pPr>
      <w:spacing w:before="80"/>
      <w:outlineLvl w:val="4"/>
    </w:pPr>
    <w:rPr>
      <w:color w:val="918585"/>
      <w:sz w:val="20"/>
    </w:rPr>
  </w:style>
  <w:style w:type="paragraph" w:styleId="Heading6">
    <w:name w:val="heading 6"/>
    <w:basedOn w:val="HeadingBase"/>
    <w:next w:val="Normal"/>
    <w:link w:val="Heading6Char"/>
    <w:qFormat/>
    <w:rsid w:val="007B2779"/>
    <w:pPr>
      <w:spacing w:before="60"/>
      <w:outlineLvl w:val="5"/>
    </w:pPr>
    <w:rPr>
      <w:color w:val="918585"/>
      <w:sz w:val="20"/>
    </w:rPr>
  </w:style>
  <w:style w:type="paragraph" w:styleId="Heading7">
    <w:name w:val="heading 7"/>
    <w:basedOn w:val="Normal"/>
    <w:next w:val="Normal"/>
    <w:link w:val="Heading7Char"/>
    <w:qFormat/>
    <w:rsid w:val="007B2779"/>
    <w:pPr>
      <w:ind w:left="720"/>
      <w:outlineLvl w:val="6"/>
    </w:pPr>
    <w:rPr>
      <w:i/>
    </w:rPr>
  </w:style>
  <w:style w:type="paragraph" w:styleId="Heading8">
    <w:name w:val="heading 8"/>
    <w:basedOn w:val="Normal"/>
    <w:next w:val="Normal"/>
    <w:link w:val="Heading8Char"/>
    <w:qFormat/>
    <w:rsid w:val="007B2779"/>
    <w:pPr>
      <w:ind w:left="720"/>
      <w:outlineLvl w:val="7"/>
    </w:pPr>
    <w:rPr>
      <w:i/>
    </w:rPr>
  </w:style>
  <w:style w:type="paragraph" w:styleId="Heading9">
    <w:name w:val="heading 9"/>
    <w:basedOn w:val="Normal"/>
    <w:next w:val="Normal"/>
    <w:link w:val="Heading9Char"/>
    <w:qFormat/>
    <w:rsid w:val="007B2779"/>
    <w:pPr>
      <w:ind w:left="720"/>
      <w:outlineLvl w:val="8"/>
    </w:pPr>
    <w:rPr>
      <w:i/>
    </w:rPr>
  </w:style>
  <w:style w:type="character" w:default="1" w:styleId="DefaultParagraphFont">
    <w:name w:val="Default Paragraph Font"/>
    <w:uiPriority w:val="1"/>
    <w:unhideWhenUsed/>
    <w:rsid w:val="007B2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779"/>
  </w:style>
  <w:style w:type="character" w:customStyle="1" w:styleId="Heading1Char">
    <w:name w:val="Heading 1 Char"/>
    <w:basedOn w:val="DefaultParagraphFont"/>
    <w:link w:val="Heading1"/>
    <w:rsid w:val="007B2779"/>
    <w:rPr>
      <w:rFonts w:ascii="Times New Roman" w:eastAsia="Times New Roman" w:hAnsi="Times New Roman" w:cs="Times New Roman"/>
      <w:b/>
      <w:sz w:val="32"/>
      <w:szCs w:val="20"/>
      <w:lang w:eastAsia="en-US"/>
    </w:rPr>
  </w:style>
  <w:style w:type="paragraph" w:styleId="BodyText">
    <w:name w:val="Body Text"/>
    <w:basedOn w:val="Normal"/>
    <w:link w:val="BodyTextChar"/>
    <w:rsid w:val="007B2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779"/>
    <w:rPr>
      <w:rFonts w:ascii="Times New Roman" w:eastAsia="Times New Roman" w:hAnsi="Times New Roman" w:cs="Times New Roman"/>
      <w:sz w:val="24"/>
      <w:lang w:eastAsia="en-US"/>
    </w:rPr>
  </w:style>
  <w:style w:type="paragraph" w:styleId="List">
    <w:name w:val="List"/>
    <w:basedOn w:val="BodyText"/>
    <w:next w:val="BodyText"/>
    <w:rsid w:val="007B2779"/>
    <w:pPr>
      <w:tabs>
        <w:tab w:val="left" w:pos="340"/>
      </w:tabs>
      <w:spacing w:before="60" w:after="60"/>
      <w:ind w:left="340" w:hanging="340"/>
    </w:pPr>
  </w:style>
  <w:style w:type="paragraph" w:styleId="ListBullet">
    <w:name w:val="List Bullet"/>
    <w:basedOn w:val="List"/>
    <w:rsid w:val="007B2779"/>
    <w:pPr>
      <w:numPr>
        <w:numId w:val="12"/>
      </w:numPr>
      <w:tabs>
        <w:tab w:val="clear" w:pos="340"/>
      </w:tabs>
      <w:spacing w:before="40" w:after="40"/>
    </w:pPr>
  </w:style>
  <w:style w:type="character" w:customStyle="1" w:styleId="SpecialBold">
    <w:name w:val="Special Bold"/>
    <w:basedOn w:val="DefaultParagraphFont"/>
    <w:rsid w:val="007B2779"/>
    <w:rPr>
      <w:b/>
      <w:spacing w:val="0"/>
    </w:rPr>
  </w:style>
  <w:style w:type="paragraph" w:customStyle="1" w:styleId="SuperHeading">
    <w:name w:val="SuperHeading"/>
    <w:basedOn w:val="Normal"/>
    <w:rsid w:val="007B2779"/>
    <w:pPr>
      <w:spacing w:before="240" w:after="120"/>
      <w:outlineLvl w:val="0"/>
    </w:pPr>
    <w:rPr>
      <w:rFonts w:ascii="Times New Roman" w:hAnsi="Times New Roman"/>
      <w:b/>
      <w:sz w:val="32"/>
    </w:rPr>
  </w:style>
  <w:style w:type="paragraph" w:customStyle="1" w:styleId="AllowPageBreak">
    <w:name w:val="AllowPageBreak"/>
    <w:rsid w:val="007B2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2779"/>
    <w:rPr>
      <w:b/>
      <w:i/>
      <w:u w:val="none"/>
    </w:rPr>
  </w:style>
  <w:style w:type="character" w:customStyle="1" w:styleId="Heading2Char">
    <w:name w:val="Heading 2 Char"/>
    <w:basedOn w:val="DefaultParagraphFont"/>
    <w:link w:val="Heading2"/>
    <w:rsid w:val="007B2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779"/>
    <w:rPr>
      <w:rFonts w:ascii="Courier New" w:eastAsia="Times New Roman" w:hAnsi="Courier New" w:cs="Times New Roman"/>
      <w:i/>
      <w:szCs w:val="20"/>
      <w:lang w:eastAsia="en-US"/>
    </w:rPr>
  </w:style>
  <w:style w:type="paragraph" w:customStyle="1" w:styleId="HeadingBase">
    <w:name w:val="Heading Base"/>
    <w:rsid w:val="007B2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779"/>
    <w:pPr>
      <w:tabs>
        <w:tab w:val="right" w:leader="dot" w:pos="9072"/>
      </w:tabs>
      <w:ind w:left="567"/>
    </w:pPr>
    <w:rPr>
      <w:szCs w:val="22"/>
    </w:rPr>
  </w:style>
  <w:style w:type="paragraph" w:customStyle="1" w:styleId="TOCBase">
    <w:name w:val="TOC Base"/>
    <w:rsid w:val="007B2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779"/>
    <w:pPr>
      <w:tabs>
        <w:tab w:val="right" w:leader="dot" w:pos="9072"/>
      </w:tabs>
      <w:spacing w:before="40" w:after="40"/>
      <w:ind w:left="284"/>
    </w:pPr>
    <w:rPr>
      <w:rFonts w:ascii="Times New Roman" w:hAnsi="Times New Roman"/>
    </w:rPr>
  </w:style>
  <w:style w:type="paragraph" w:styleId="TOC1">
    <w:name w:val="toc 1"/>
    <w:basedOn w:val="TOCBase"/>
    <w:next w:val="Normal"/>
    <w:rsid w:val="007B2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779"/>
    <w:rPr>
      <w:rFonts w:ascii="Times New Roman" w:eastAsia="Times New Roman" w:hAnsi="Times New Roman" w:cs="Times New Roman"/>
      <w:sz w:val="16"/>
      <w:lang w:eastAsia="en-US"/>
    </w:rPr>
  </w:style>
  <w:style w:type="paragraph" w:styleId="Title">
    <w:name w:val="Title"/>
    <w:basedOn w:val="HeadingBase"/>
    <w:link w:val="TitleChar"/>
    <w:qFormat/>
    <w:rsid w:val="007B2779"/>
    <w:pPr>
      <w:spacing w:before="5040"/>
      <w:jc w:val="center"/>
    </w:pPr>
    <w:rPr>
      <w:sz w:val="48"/>
      <w:szCs w:val="72"/>
      <w:lang w:val="en-US"/>
    </w:rPr>
  </w:style>
  <w:style w:type="character" w:customStyle="1" w:styleId="TitleChar">
    <w:name w:val="Title Char"/>
    <w:basedOn w:val="DefaultParagraphFont"/>
    <w:link w:val="Title"/>
    <w:rsid w:val="007B2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779"/>
    <w:pPr>
      <w:tabs>
        <w:tab w:val="left" w:pos="3600"/>
        <w:tab w:val="left" w:pos="3958"/>
      </w:tabs>
    </w:pPr>
  </w:style>
  <w:style w:type="paragraph" w:customStyle="1" w:styleId="Note">
    <w:name w:val="Note"/>
    <w:basedOn w:val="BodyText"/>
    <w:rsid w:val="007B2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779"/>
    <w:pPr>
      <w:framePr w:wrap="auto" w:hAnchor="text" w:y="6049"/>
    </w:pPr>
    <w:rPr>
      <w:color w:val="000000"/>
      <w:sz w:val="40"/>
    </w:rPr>
  </w:style>
  <w:style w:type="paragraph" w:customStyle="1" w:styleId="TOCTitle">
    <w:name w:val="TOCTitle"/>
    <w:basedOn w:val="Heading1"/>
    <w:rsid w:val="007B2779"/>
    <w:pPr>
      <w:spacing w:after="240"/>
      <w:jc w:val="center"/>
      <w:outlineLvl w:val="9"/>
    </w:pPr>
    <w:rPr>
      <w:caps/>
    </w:rPr>
  </w:style>
  <w:style w:type="paragraph" w:customStyle="1" w:styleId="Version">
    <w:name w:val="Version"/>
    <w:rsid w:val="007B2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779"/>
    <w:pPr>
      <w:numPr>
        <w:numId w:val="13"/>
      </w:numPr>
      <w:tabs>
        <w:tab w:val="clear" w:pos="680"/>
      </w:tabs>
    </w:pPr>
  </w:style>
  <w:style w:type="paragraph" w:styleId="Index1">
    <w:name w:val="index 1"/>
    <w:basedOn w:val="Normal"/>
    <w:next w:val="Normal"/>
    <w:semiHidden/>
    <w:rsid w:val="007B2779"/>
    <w:pPr>
      <w:keepNext w:val="0"/>
      <w:tabs>
        <w:tab w:val="right" w:pos="4176"/>
      </w:tabs>
      <w:ind w:left="198" w:hanging="198"/>
    </w:pPr>
    <w:rPr>
      <w:rFonts w:ascii="Garamond" w:hAnsi="Garamond"/>
    </w:rPr>
  </w:style>
  <w:style w:type="paragraph" w:styleId="IndexHeading">
    <w:name w:val="index heading"/>
    <w:basedOn w:val="Normal"/>
    <w:next w:val="Index1"/>
    <w:semiHidden/>
    <w:rsid w:val="007B2779"/>
    <w:pPr>
      <w:spacing w:before="120" w:after="120"/>
    </w:pPr>
    <w:rPr>
      <w:rFonts w:ascii="Arial" w:hAnsi="Arial"/>
      <w:b/>
      <w:color w:val="918585"/>
      <w:sz w:val="24"/>
    </w:rPr>
  </w:style>
  <w:style w:type="paragraph" w:styleId="Header">
    <w:name w:val="header"/>
    <w:basedOn w:val="Normal"/>
    <w:link w:val="HeaderChar"/>
    <w:rsid w:val="007B2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779"/>
    <w:rPr>
      <w:rFonts w:ascii="Times New Roman" w:eastAsia="Times New Roman" w:hAnsi="Times New Roman" w:cs="Times New Roman"/>
      <w:sz w:val="16"/>
      <w:szCs w:val="20"/>
      <w:lang w:val="en-GB" w:eastAsia="en-US"/>
    </w:rPr>
  </w:style>
  <w:style w:type="paragraph" w:customStyle="1" w:styleId="Chapter">
    <w:name w:val="Chapter"/>
    <w:basedOn w:val="Normal"/>
    <w:rsid w:val="007B2779"/>
    <w:pPr>
      <w:spacing w:before="240"/>
    </w:pPr>
    <w:rPr>
      <w:rFonts w:ascii="Times New Roman" w:hAnsi="Times New Roman"/>
      <w:smallCaps/>
      <w:spacing w:val="80"/>
      <w:sz w:val="28"/>
    </w:rPr>
  </w:style>
  <w:style w:type="paragraph" w:customStyle="1" w:styleId="InChapter">
    <w:name w:val="InChapter"/>
    <w:basedOn w:val="Heading3"/>
    <w:rsid w:val="007B2779"/>
    <w:pPr>
      <w:spacing w:after="240"/>
      <w:outlineLvl w:val="9"/>
    </w:pPr>
    <w:rPr>
      <w:noProof/>
    </w:rPr>
  </w:style>
  <w:style w:type="paragraph" w:styleId="Index2">
    <w:name w:val="index 2"/>
    <w:basedOn w:val="Normal"/>
    <w:next w:val="Normal"/>
    <w:semiHidden/>
    <w:rsid w:val="007B2779"/>
    <w:pPr>
      <w:tabs>
        <w:tab w:val="right" w:pos="4176"/>
      </w:tabs>
      <w:ind w:left="568" w:hanging="284"/>
    </w:pPr>
    <w:rPr>
      <w:rFonts w:ascii="Garamond" w:hAnsi="Garamond"/>
    </w:rPr>
  </w:style>
  <w:style w:type="paragraph" w:customStyle="1" w:styleId="Byline">
    <w:name w:val="Byline"/>
    <w:rsid w:val="007B2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779"/>
    <w:pPr>
      <w:tabs>
        <w:tab w:val="clear" w:pos="3600"/>
        <w:tab w:val="clear" w:pos="3958"/>
      </w:tabs>
      <w:jc w:val="right"/>
    </w:pPr>
  </w:style>
  <w:style w:type="character" w:styleId="Emphasis">
    <w:name w:val="Emphasis"/>
    <w:basedOn w:val="DefaultParagraphFont"/>
    <w:qFormat/>
    <w:rsid w:val="007B2779"/>
    <w:rPr>
      <w:i/>
    </w:rPr>
  </w:style>
  <w:style w:type="paragraph" w:styleId="Caption">
    <w:name w:val="caption"/>
    <w:basedOn w:val="BodyText"/>
    <w:next w:val="Normal"/>
    <w:qFormat/>
    <w:rsid w:val="007B2779"/>
    <w:pPr>
      <w:framePr w:w="2268" w:hSpace="181" w:vSpace="181" w:wrap="around" w:vAnchor="text" w:hAnchor="page" w:x="1135" w:y="285" w:anchorLock="1"/>
    </w:pPr>
    <w:rPr>
      <w:i/>
    </w:rPr>
  </w:style>
  <w:style w:type="paragraph" w:customStyle="1" w:styleId="MiniTOCTitle">
    <w:name w:val="MiniTOCTitle"/>
    <w:basedOn w:val="Heading4"/>
    <w:rsid w:val="007B2779"/>
    <w:pPr>
      <w:spacing w:before="240"/>
      <w:outlineLvl w:val="9"/>
    </w:pPr>
    <w:rPr>
      <w:noProof/>
      <w:sz w:val="24"/>
    </w:rPr>
  </w:style>
  <w:style w:type="paragraph" w:customStyle="1" w:styleId="MiniTOCItem">
    <w:name w:val="MiniTOCItem"/>
    <w:basedOn w:val="ListBullet"/>
    <w:rsid w:val="007B2779"/>
    <w:pPr>
      <w:numPr>
        <w:numId w:val="0"/>
      </w:numPr>
      <w:tabs>
        <w:tab w:val="right" w:leader="dot" w:pos="6521"/>
      </w:tabs>
      <w:spacing w:before="0" w:after="0"/>
    </w:pPr>
  </w:style>
  <w:style w:type="paragraph" w:customStyle="1" w:styleId="TOFTitle">
    <w:name w:val="TOFTitle"/>
    <w:basedOn w:val="TOCTitle"/>
    <w:rsid w:val="007B2779"/>
  </w:style>
  <w:style w:type="paragraph" w:styleId="TableofFigures">
    <w:name w:val="table of figures"/>
    <w:basedOn w:val="Normal"/>
    <w:next w:val="Normal"/>
    <w:semiHidden/>
    <w:rsid w:val="007B2779"/>
    <w:pPr>
      <w:tabs>
        <w:tab w:val="right" w:leader="dot" w:pos="9072"/>
      </w:tabs>
      <w:ind w:left="970" w:hanging="403"/>
    </w:pPr>
    <w:rPr>
      <w:rFonts w:ascii="Times New Roman" w:hAnsi="Times New Roman"/>
      <w:b/>
    </w:rPr>
  </w:style>
  <w:style w:type="paragraph" w:styleId="ListNumber">
    <w:name w:val="List Number"/>
    <w:basedOn w:val="List"/>
    <w:rsid w:val="007B2779"/>
    <w:pPr>
      <w:numPr>
        <w:numId w:val="10"/>
      </w:numPr>
    </w:pPr>
  </w:style>
  <w:style w:type="character" w:customStyle="1" w:styleId="WingdingSymbols">
    <w:name w:val="Wingding Symbols"/>
    <w:rsid w:val="007B2779"/>
    <w:rPr>
      <w:rFonts w:ascii="Wingdings" w:hAnsi="Wingdings"/>
    </w:rPr>
  </w:style>
  <w:style w:type="paragraph" w:customStyle="1" w:styleId="TableHeading">
    <w:name w:val="Table Heading"/>
    <w:basedOn w:val="HeadingBase"/>
    <w:rsid w:val="007B2779"/>
    <w:pPr>
      <w:keepLines/>
      <w:pBdr>
        <w:bottom w:val="single" w:sz="6" w:space="1" w:color="918585"/>
      </w:pBdr>
      <w:spacing w:before="240"/>
    </w:pPr>
  </w:style>
  <w:style w:type="character" w:customStyle="1" w:styleId="HotSpot">
    <w:name w:val="HotSpot"/>
    <w:rsid w:val="007B2779"/>
    <w:rPr>
      <w:color w:val="0033CC"/>
      <w:u w:val="none"/>
    </w:rPr>
  </w:style>
  <w:style w:type="paragraph" w:customStyle="1" w:styleId="BodyTextRight">
    <w:name w:val="Body Text Right"/>
    <w:basedOn w:val="BodyText"/>
    <w:rsid w:val="007B2779"/>
    <w:pPr>
      <w:spacing w:before="0" w:after="0"/>
      <w:jc w:val="right"/>
    </w:pPr>
  </w:style>
  <w:style w:type="paragraph" w:styleId="Index3">
    <w:name w:val="index 3"/>
    <w:basedOn w:val="ListNumber2"/>
    <w:next w:val="Normal"/>
    <w:semiHidden/>
    <w:rsid w:val="007B2779"/>
    <w:pPr>
      <w:numPr>
        <w:numId w:val="0"/>
      </w:numPr>
      <w:tabs>
        <w:tab w:val="right" w:leader="dot" w:pos="4176"/>
      </w:tabs>
    </w:pPr>
  </w:style>
  <w:style w:type="paragraph" w:styleId="ListNumber2">
    <w:name w:val="List Number 2"/>
    <w:basedOn w:val="List2"/>
    <w:rsid w:val="007B2779"/>
    <w:pPr>
      <w:numPr>
        <w:numId w:val="9"/>
      </w:numPr>
      <w:tabs>
        <w:tab w:val="clear" w:pos="1060"/>
      </w:tabs>
    </w:pPr>
  </w:style>
  <w:style w:type="paragraph" w:customStyle="1" w:styleId="MarginNote">
    <w:name w:val="Margin Note"/>
    <w:basedOn w:val="BodyText"/>
    <w:rsid w:val="007B2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779"/>
    <w:rPr>
      <w:sz w:val="32"/>
    </w:rPr>
  </w:style>
  <w:style w:type="paragraph" w:customStyle="1" w:styleId="HeadingProcedure">
    <w:name w:val="Heading Procedure"/>
    <w:basedOn w:val="HeadingBase"/>
    <w:next w:val="Normal"/>
    <w:rsid w:val="007B2779"/>
    <w:pPr>
      <w:tabs>
        <w:tab w:val="left" w:pos="0"/>
      </w:tabs>
      <w:spacing w:before="120" w:after="60"/>
    </w:pPr>
    <w:rPr>
      <w:i/>
      <w:color w:val="918585"/>
      <w:sz w:val="22"/>
    </w:rPr>
  </w:style>
  <w:style w:type="paragraph" w:customStyle="1" w:styleId="TableBodyText">
    <w:name w:val="Table Body Text"/>
    <w:basedOn w:val="BodyText"/>
    <w:rsid w:val="007B2779"/>
    <w:pPr>
      <w:spacing w:before="60" w:after="60"/>
    </w:pPr>
  </w:style>
  <w:style w:type="paragraph" w:styleId="ListContinue">
    <w:name w:val="List Continue"/>
    <w:basedOn w:val="List"/>
    <w:rsid w:val="007B2779"/>
    <w:pPr>
      <w:ind w:firstLine="0"/>
    </w:pPr>
  </w:style>
  <w:style w:type="paragraph" w:customStyle="1" w:styleId="ListNote">
    <w:name w:val="List Note"/>
    <w:basedOn w:val="List"/>
    <w:rsid w:val="007B2779"/>
    <w:pPr>
      <w:pBdr>
        <w:top w:val="single" w:sz="6" w:space="2" w:color="918585"/>
        <w:bottom w:val="single" w:sz="6" w:space="2" w:color="918585"/>
      </w:pBdr>
      <w:tabs>
        <w:tab w:val="left" w:pos="1021"/>
      </w:tabs>
      <w:ind w:firstLine="0"/>
    </w:pPr>
  </w:style>
  <w:style w:type="paragraph" w:customStyle="1" w:styleId="Warning">
    <w:name w:val="Warning"/>
    <w:basedOn w:val="BodyText"/>
    <w:rsid w:val="007B2779"/>
    <w:pPr>
      <w:shd w:val="clear" w:color="auto" w:fill="D9D9D9"/>
      <w:tabs>
        <w:tab w:val="left" w:pos="992"/>
      </w:tabs>
      <w:ind w:left="119" w:right="119"/>
    </w:pPr>
    <w:rPr>
      <w:sz w:val="20"/>
    </w:rPr>
  </w:style>
  <w:style w:type="paragraph" w:customStyle="1" w:styleId="MarginIcons">
    <w:name w:val="Margin Icons"/>
    <w:basedOn w:val="BodyText"/>
    <w:rsid w:val="007B2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779"/>
    <w:rPr>
      <w:rFonts w:ascii="Courier New" w:hAnsi="Courier New"/>
    </w:rPr>
  </w:style>
  <w:style w:type="paragraph" w:customStyle="1" w:styleId="NoteBullet">
    <w:name w:val="Note Bullet"/>
    <w:basedOn w:val="Note"/>
    <w:rsid w:val="007B2779"/>
    <w:pPr>
      <w:tabs>
        <w:tab w:val="clear" w:pos="680"/>
      </w:tabs>
      <w:spacing w:before="60" w:after="60"/>
    </w:pPr>
  </w:style>
  <w:style w:type="paragraph" w:customStyle="1" w:styleId="SubHeading2">
    <w:name w:val="SubHeading2"/>
    <w:basedOn w:val="HeadingBase"/>
    <w:rsid w:val="007B2779"/>
    <w:pPr>
      <w:spacing w:before="240" w:after="60"/>
    </w:pPr>
    <w:rPr>
      <w:sz w:val="20"/>
    </w:rPr>
  </w:style>
  <w:style w:type="paragraph" w:customStyle="1" w:styleId="SubHeading1">
    <w:name w:val="SubHeading1"/>
    <w:basedOn w:val="HeadingBase"/>
    <w:rsid w:val="007B2779"/>
    <w:pPr>
      <w:spacing w:before="240" w:after="60"/>
    </w:pPr>
    <w:rPr>
      <w:color w:val="918585"/>
      <w:sz w:val="22"/>
    </w:rPr>
  </w:style>
  <w:style w:type="paragraph" w:customStyle="1" w:styleId="SideHeading">
    <w:name w:val="Side Heading"/>
    <w:basedOn w:val="HeadingBase"/>
    <w:rsid w:val="007B2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779"/>
    <w:pPr>
      <w:tabs>
        <w:tab w:val="num" w:pos="360"/>
      </w:tabs>
    </w:pPr>
  </w:style>
  <w:style w:type="paragraph" w:styleId="PlainText">
    <w:name w:val="Plain Text"/>
    <w:basedOn w:val="Normal"/>
    <w:link w:val="PlainTextChar"/>
    <w:rsid w:val="007B2779"/>
    <w:rPr>
      <w:sz w:val="20"/>
    </w:rPr>
  </w:style>
  <w:style w:type="character" w:customStyle="1" w:styleId="PlainTextChar">
    <w:name w:val="Plain Text Char"/>
    <w:basedOn w:val="DefaultParagraphFont"/>
    <w:link w:val="PlainText"/>
    <w:rsid w:val="007B2779"/>
    <w:rPr>
      <w:rFonts w:ascii="Courier New" w:eastAsia="Times New Roman" w:hAnsi="Courier New" w:cs="Times New Roman"/>
      <w:sz w:val="20"/>
      <w:szCs w:val="20"/>
      <w:lang w:eastAsia="en-US"/>
    </w:rPr>
  </w:style>
  <w:style w:type="character" w:customStyle="1" w:styleId="MenuOption">
    <w:name w:val="Menu Option"/>
    <w:basedOn w:val="DefaultParagraphFont"/>
    <w:rsid w:val="007B2779"/>
    <w:rPr>
      <w:b/>
      <w:smallCaps/>
    </w:rPr>
  </w:style>
  <w:style w:type="paragraph" w:customStyle="1" w:styleId="TableListNumber">
    <w:name w:val="Table List Number"/>
    <w:basedOn w:val="ListNumber"/>
    <w:rsid w:val="007B2779"/>
    <w:pPr>
      <w:numPr>
        <w:numId w:val="0"/>
      </w:numPr>
    </w:pPr>
  </w:style>
  <w:style w:type="paragraph" w:styleId="TOC4">
    <w:name w:val="toc 4"/>
    <w:basedOn w:val="TOCBase"/>
    <w:next w:val="Normal"/>
    <w:semiHidden/>
    <w:rsid w:val="007B2779"/>
    <w:pPr>
      <w:tabs>
        <w:tab w:val="right" w:leader="dot" w:pos="9071"/>
      </w:tabs>
      <w:ind w:left="1701"/>
    </w:pPr>
  </w:style>
  <w:style w:type="paragraph" w:customStyle="1" w:styleId="ListAlpha">
    <w:name w:val="List Alpha"/>
    <w:basedOn w:val="List"/>
    <w:rsid w:val="007B2779"/>
    <w:pPr>
      <w:numPr>
        <w:numId w:val="8"/>
      </w:numPr>
    </w:pPr>
  </w:style>
  <w:style w:type="paragraph" w:customStyle="1" w:styleId="ListAlpha2">
    <w:name w:val="List Alpha 2"/>
    <w:basedOn w:val="List2"/>
    <w:rsid w:val="007B2779"/>
    <w:pPr>
      <w:numPr>
        <w:numId w:val="7"/>
      </w:numPr>
    </w:pPr>
  </w:style>
  <w:style w:type="paragraph" w:styleId="List2">
    <w:name w:val="List 2"/>
    <w:basedOn w:val="BodyText"/>
    <w:rsid w:val="007B2779"/>
    <w:pPr>
      <w:tabs>
        <w:tab w:val="left" w:pos="680"/>
      </w:tabs>
      <w:spacing w:before="60" w:after="60"/>
      <w:ind w:left="680" w:hanging="340"/>
    </w:pPr>
  </w:style>
  <w:style w:type="paragraph" w:styleId="List3">
    <w:name w:val="List 3"/>
    <w:basedOn w:val="BodyText"/>
    <w:rsid w:val="007B2779"/>
    <w:pPr>
      <w:tabs>
        <w:tab w:val="left" w:pos="1021"/>
      </w:tabs>
      <w:spacing w:before="60" w:after="60"/>
      <w:ind w:left="1020" w:hanging="340"/>
    </w:pPr>
  </w:style>
  <w:style w:type="paragraph" w:styleId="List4">
    <w:name w:val="List 4"/>
    <w:basedOn w:val="BodyText"/>
    <w:rsid w:val="007B2779"/>
    <w:pPr>
      <w:tabs>
        <w:tab w:val="left" w:pos="1361"/>
      </w:tabs>
      <w:spacing w:before="60" w:after="60"/>
      <w:ind w:left="1361" w:hanging="340"/>
    </w:pPr>
  </w:style>
  <w:style w:type="paragraph" w:styleId="List5">
    <w:name w:val="List 5"/>
    <w:basedOn w:val="BodyText"/>
    <w:rsid w:val="007B2779"/>
    <w:pPr>
      <w:tabs>
        <w:tab w:val="left" w:pos="1701"/>
      </w:tabs>
      <w:spacing w:before="60" w:after="60"/>
      <w:ind w:left="1701" w:hanging="340"/>
    </w:pPr>
  </w:style>
  <w:style w:type="paragraph" w:styleId="ListBullet3">
    <w:name w:val="List Bullet 3"/>
    <w:basedOn w:val="List3"/>
    <w:rsid w:val="007B2779"/>
    <w:pPr>
      <w:numPr>
        <w:numId w:val="14"/>
      </w:numPr>
      <w:tabs>
        <w:tab w:val="clear" w:pos="1021"/>
      </w:tabs>
      <w:ind w:left="1037" w:hanging="357"/>
    </w:pPr>
  </w:style>
  <w:style w:type="paragraph" w:styleId="ListBullet4">
    <w:name w:val="List Bullet 4"/>
    <w:basedOn w:val="List4"/>
    <w:rsid w:val="007B2779"/>
    <w:pPr>
      <w:numPr>
        <w:numId w:val="2"/>
      </w:numPr>
    </w:pPr>
  </w:style>
  <w:style w:type="paragraph" w:styleId="ListBullet5">
    <w:name w:val="List Bullet 5"/>
    <w:basedOn w:val="List5"/>
    <w:rsid w:val="007B2779"/>
    <w:pPr>
      <w:numPr>
        <w:numId w:val="3"/>
      </w:numPr>
    </w:pPr>
  </w:style>
  <w:style w:type="paragraph" w:styleId="ListContinue2">
    <w:name w:val="List Continue 2"/>
    <w:basedOn w:val="List2"/>
    <w:rsid w:val="007B2779"/>
    <w:pPr>
      <w:ind w:firstLine="0"/>
    </w:pPr>
  </w:style>
  <w:style w:type="paragraph" w:styleId="ListContinue3">
    <w:name w:val="List Continue 3"/>
    <w:basedOn w:val="List3"/>
    <w:rsid w:val="007B2779"/>
    <w:pPr>
      <w:ind w:left="1021" w:firstLine="0"/>
    </w:pPr>
  </w:style>
  <w:style w:type="paragraph" w:styleId="ListContinue4">
    <w:name w:val="List Continue 4"/>
    <w:basedOn w:val="List4"/>
    <w:rsid w:val="007B2779"/>
    <w:pPr>
      <w:ind w:firstLine="0"/>
    </w:pPr>
  </w:style>
  <w:style w:type="paragraph" w:styleId="ListContinue5">
    <w:name w:val="List Continue 5"/>
    <w:basedOn w:val="List5"/>
    <w:rsid w:val="007B2779"/>
    <w:pPr>
      <w:ind w:firstLine="0"/>
    </w:pPr>
  </w:style>
  <w:style w:type="paragraph" w:styleId="ListNumber3">
    <w:name w:val="List Number 3"/>
    <w:basedOn w:val="List3"/>
    <w:rsid w:val="007B2779"/>
    <w:pPr>
      <w:numPr>
        <w:numId w:val="4"/>
      </w:numPr>
    </w:pPr>
  </w:style>
  <w:style w:type="paragraph" w:styleId="ListNumber4">
    <w:name w:val="List Number 4"/>
    <w:basedOn w:val="List4"/>
    <w:rsid w:val="007B2779"/>
    <w:pPr>
      <w:numPr>
        <w:numId w:val="5"/>
      </w:numPr>
    </w:pPr>
  </w:style>
  <w:style w:type="paragraph" w:styleId="ListNumber5">
    <w:name w:val="List Number 5"/>
    <w:basedOn w:val="List5"/>
    <w:rsid w:val="007B2779"/>
    <w:pPr>
      <w:numPr>
        <w:numId w:val="6"/>
      </w:numPr>
    </w:pPr>
  </w:style>
  <w:style w:type="paragraph" w:styleId="BlockText">
    <w:name w:val="Block Text"/>
    <w:basedOn w:val="Normal"/>
    <w:rsid w:val="007B2779"/>
    <w:pPr>
      <w:spacing w:after="120"/>
      <w:ind w:left="1440" w:right="1440"/>
    </w:pPr>
  </w:style>
  <w:style w:type="character" w:customStyle="1" w:styleId="Subscript">
    <w:name w:val="Subscript"/>
    <w:basedOn w:val="DefaultParagraphFont"/>
    <w:rsid w:val="007B2779"/>
    <w:rPr>
      <w:sz w:val="16"/>
      <w:vertAlign w:val="subscript"/>
    </w:rPr>
  </w:style>
  <w:style w:type="character" w:customStyle="1" w:styleId="Superscript">
    <w:name w:val="Superscript"/>
    <w:basedOn w:val="DefaultParagraphFont"/>
    <w:rsid w:val="007B2779"/>
    <w:rPr>
      <w:sz w:val="16"/>
      <w:vertAlign w:val="superscript"/>
    </w:rPr>
  </w:style>
  <w:style w:type="character" w:customStyle="1" w:styleId="Symbols">
    <w:name w:val="Symbols"/>
    <w:basedOn w:val="DefaultParagraphFont"/>
    <w:rsid w:val="007B2779"/>
    <w:rPr>
      <w:rFonts w:ascii="Symbol" w:hAnsi="Symbol"/>
    </w:rPr>
  </w:style>
  <w:style w:type="character" w:customStyle="1" w:styleId="MenuOptions">
    <w:name w:val="Menu Options"/>
    <w:basedOn w:val="DefaultParagraphFont"/>
    <w:rsid w:val="007B2779"/>
    <w:rPr>
      <w:rFonts w:ascii="Arial Narrow" w:hAnsi="Arial Narrow"/>
      <w:smallCaps/>
    </w:rPr>
  </w:style>
  <w:style w:type="character" w:customStyle="1" w:styleId="Buttons">
    <w:name w:val="Buttons"/>
    <w:basedOn w:val="DefaultParagraphFont"/>
    <w:rsid w:val="007B2779"/>
    <w:rPr>
      <w:b/>
    </w:rPr>
  </w:style>
  <w:style w:type="character" w:customStyle="1" w:styleId="Underlined">
    <w:name w:val="Underlined"/>
    <w:basedOn w:val="DefaultParagraphFont"/>
    <w:rsid w:val="007B2779"/>
    <w:rPr>
      <w:u w:val="single"/>
    </w:rPr>
  </w:style>
  <w:style w:type="paragraph" w:customStyle="1" w:styleId="TableBodyTextRight">
    <w:name w:val="Table Body Text Right"/>
    <w:basedOn w:val="TableBodyText"/>
    <w:rsid w:val="007B2779"/>
    <w:pPr>
      <w:widowControl w:val="0"/>
      <w:autoSpaceDE w:val="0"/>
      <w:autoSpaceDN w:val="0"/>
      <w:adjustRightInd w:val="0"/>
      <w:jc w:val="right"/>
    </w:pPr>
    <w:rPr>
      <w:rFonts w:cs="Arial"/>
      <w:szCs w:val="18"/>
    </w:rPr>
  </w:style>
  <w:style w:type="paragraph" w:customStyle="1" w:styleId="CopyrightText">
    <w:name w:val="Copyright Text"/>
    <w:basedOn w:val="BodyText"/>
    <w:rsid w:val="007B2779"/>
    <w:rPr>
      <w:sz w:val="18"/>
    </w:rPr>
  </w:style>
  <w:style w:type="paragraph" w:customStyle="1" w:styleId="BodySmallRight">
    <w:name w:val="Body Small Right"/>
    <w:basedOn w:val="BodyTextRight"/>
    <w:rsid w:val="007B2779"/>
    <w:rPr>
      <w:sz w:val="18"/>
      <w:szCs w:val="18"/>
    </w:rPr>
  </w:style>
  <w:style w:type="paragraph" w:customStyle="1" w:styleId="MarginEdition">
    <w:name w:val="Margin Edition"/>
    <w:basedOn w:val="MarginNote"/>
    <w:rsid w:val="007B2779"/>
    <w:pPr>
      <w:spacing w:before="0" w:after="0"/>
    </w:pPr>
    <w:rPr>
      <w:rFonts w:ascii="Times New Roman" w:hAnsi="Times New Roman"/>
      <w:color w:val="999999"/>
    </w:rPr>
  </w:style>
  <w:style w:type="paragraph" w:customStyle="1" w:styleId="Spacer">
    <w:name w:val="Spacer"/>
    <w:basedOn w:val="Normal"/>
    <w:rsid w:val="007B2779"/>
    <w:rPr>
      <w:sz w:val="2"/>
      <w:szCs w:val="2"/>
    </w:rPr>
  </w:style>
  <w:style w:type="character" w:customStyle="1" w:styleId="Small">
    <w:name w:val="Small"/>
    <w:basedOn w:val="DefaultParagraphFont"/>
    <w:rsid w:val="007B2779"/>
    <w:rPr>
      <w:sz w:val="16"/>
    </w:rPr>
  </w:style>
  <w:style w:type="paragraph" w:customStyle="1" w:styleId="WideTable">
    <w:name w:val="Wide Table"/>
    <w:basedOn w:val="Normal"/>
    <w:rsid w:val="007B2779"/>
    <w:pPr>
      <w:ind w:left="-1418"/>
    </w:pPr>
    <w:rPr>
      <w:sz w:val="2"/>
      <w:szCs w:val="2"/>
    </w:rPr>
  </w:style>
  <w:style w:type="character" w:styleId="PageNumber">
    <w:name w:val="page number"/>
    <w:basedOn w:val="DefaultParagraphFont"/>
    <w:rsid w:val="007B2779"/>
  </w:style>
  <w:style w:type="paragraph" w:styleId="Quote">
    <w:name w:val="Quote"/>
    <w:basedOn w:val="Heading1"/>
    <w:link w:val="QuoteChar"/>
    <w:qFormat/>
    <w:rsid w:val="007B2779"/>
    <w:rPr>
      <w:b w:val="0"/>
      <w:sz w:val="72"/>
      <w:szCs w:val="72"/>
      <w:lang w:val="en-NZ"/>
    </w:rPr>
  </w:style>
  <w:style w:type="character" w:customStyle="1" w:styleId="QuoteChar">
    <w:name w:val="Quote Char"/>
    <w:basedOn w:val="DefaultParagraphFont"/>
    <w:link w:val="Quote"/>
    <w:rsid w:val="007B2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779"/>
    <w:pPr>
      <w:pageBreakBefore/>
    </w:pPr>
  </w:style>
  <w:style w:type="paragraph" w:customStyle="1" w:styleId="Border">
    <w:name w:val="Border"/>
    <w:basedOn w:val="Normal"/>
    <w:qFormat/>
    <w:rsid w:val="007B2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779"/>
    <w:rPr>
      <w:b/>
      <w:bCs/>
      <w:i/>
      <w:iCs/>
      <w:color w:val="auto"/>
    </w:rPr>
  </w:style>
  <w:style w:type="paragraph" w:styleId="IntenseQuote">
    <w:name w:val="Intense Quote"/>
    <w:basedOn w:val="Normal"/>
    <w:next w:val="Normal"/>
    <w:link w:val="IntenseQuoteChar"/>
    <w:uiPriority w:val="30"/>
    <w:qFormat/>
    <w:rsid w:val="007B2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779"/>
    <w:rPr>
      <w:smallCaps/>
      <w:color w:val="auto"/>
      <w:u w:val="single"/>
    </w:rPr>
  </w:style>
  <w:style w:type="character" w:styleId="IntenseReference">
    <w:name w:val="Intense Reference"/>
    <w:basedOn w:val="DefaultParagraphFont"/>
    <w:uiPriority w:val="32"/>
    <w:qFormat/>
    <w:rsid w:val="007B2779"/>
    <w:rPr>
      <w:b/>
      <w:bCs/>
      <w:smallCaps/>
      <w:color w:val="auto"/>
      <w:spacing w:val="5"/>
      <w:u w:val="single"/>
    </w:rPr>
  </w:style>
  <w:style w:type="paragraph" w:customStyle="1" w:styleId="2ColumnHeading">
    <w:name w:val="2Column Heading"/>
    <w:basedOn w:val="BodyText"/>
    <w:qFormat/>
    <w:rsid w:val="007B2779"/>
    <w:pPr>
      <w:spacing w:after="60"/>
      <w:ind w:left="-2268"/>
    </w:pPr>
    <w:rPr>
      <w:b/>
    </w:rPr>
  </w:style>
  <w:style w:type="paragraph" w:customStyle="1" w:styleId="Heading1TOC">
    <w:name w:val="Heading1 TOC"/>
    <w:basedOn w:val="Normal"/>
    <w:qFormat/>
    <w:rsid w:val="007B2779"/>
    <w:pPr>
      <w:spacing w:before="240" w:after="120"/>
    </w:pPr>
    <w:rPr>
      <w:rFonts w:ascii="Times New Roman" w:hAnsi="Times New Roman"/>
      <w:b/>
      <w:sz w:val="32"/>
    </w:rPr>
  </w:style>
  <w:style w:type="paragraph" w:customStyle="1" w:styleId="Heading2TOC">
    <w:name w:val="Heading2 TOC"/>
    <w:basedOn w:val="Normal"/>
    <w:qFormat/>
    <w:rsid w:val="007B2779"/>
    <w:pPr>
      <w:spacing w:before="240" w:after="60"/>
    </w:pPr>
    <w:rPr>
      <w:rFonts w:ascii="Times New Roman" w:hAnsi="Times New Roman"/>
      <w:b/>
      <w:sz w:val="28"/>
    </w:rPr>
  </w:style>
  <w:style w:type="character" w:customStyle="1" w:styleId="Underline">
    <w:name w:val="Underline"/>
    <w:basedOn w:val="DefaultParagraphFont"/>
    <w:qFormat/>
    <w:rsid w:val="007B2779"/>
    <w:rPr>
      <w:u w:val="single"/>
    </w:rPr>
  </w:style>
  <w:style w:type="paragraph" w:styleId="BalloonText">
    <w:name w:val="Balloon Text"/>
    <w:basedOn w:val="Normal"/>
    <w:link w:val="BalloonTextChar"/>
    <w:rsid w:val="007B2779"/>
    <w:rPr>
      <w:rFonts w:ascii="Tahoma" w:hAnsi="Tahoma" w:cs="Tahoma"/>
      <w:sz w:val="16"/>
      <w:szCs w:val="16"/>
    </w:rPr>
  </w:style>
  <w:style w:type="character" w:customStyle="1" w:styleId="BalloonTextChar">
    <w:name w:val="Balloon Text Char"/>
    <w:basedOn w:val="DefaultParagraphFont"/>
    <w:link w:val="BalloonText"/>
    <w:rsid w:val="007B2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779"/>
    <w:rPr>
      <w:b/>
      <w:color w:val="660033"/>
      <w:spacing w:val="0"/>
    </w:rPr>
  </w:style>
  <w:style w:type="paragraph" w:customStyle="1" w:styleId="Nameditemlist">
    <w:name w:val="Named item list"/>
    <w:basedOn w:val="BodyText"/>
    <w:qFormat/>
    <w:rsid w:val="007B27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964</Words>
  <Characters>6104</Characters>
  <Application>Microsoft Office Word</Application>
  <DocSecurity>0</DocSecurity>
  <Lines>218</Lines>
  <Paragraphs>130</Paragraphs>
  <ScaleCrop>false</ScaleCrop>
  <Company>Author-it Software Corporation Ltd.</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DEFEO601D Assess explosive ordnance firings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2013-01-25T17:06:00Z</dcterms:created>
  <dcterms:modified xsi:type="dcterms:W3CDTF">2013-01-25T17:06:00Z</dcterms:modified>
</cp:coreProperties>
</file>