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370" w:rsidP="0011537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DEFEO509D Perform purging</w:t>
      </w:r>
      <w:r>
        <w:fldChar w:fldCharType="end"/>
      </w:r>
    </w:p>
    <w:p w:rsidR="00115370" w:rsidP="00115370">
      <w:pPr>
        <w:pStyle w:val="Version"/>
        <w:sectPr w:rsidSect="00AC7B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7BC4" w:rsidP="00AC7BC4">
      <w:pPr>
        <w:pStyle w:val="SuperHeading"/>
      </w:pPr>
      <w:r w:rsidRPr="00AC7BC4">
        <w:t>DEFEO509D Perform purging</w:t>
      </w:r>
    </w:p>
    <w:p w:rsidR="00000000" w:rsidRPr="00AC7BC4" w:rsidP="00AC7BC4">
      <w:pPr>
        <w:pStyle w:val="Heading1"/>
      </w:pPr>
      <w:bookmarkStart w:id="1" w:name="O_518547"/>
      <w:bookmarkEnd w:id="1"/>
      <w:r w:rsidRPr="00AC7B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BodyText"/>
            </w:pPr>
            <w:r w:rsidRPr="00AC7BC4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BodyText"/>
            </w:pPr>
            <w:r w:rsidRPr="00AC7BC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SpecialBold"/>
              </w:rPr>
              <w:t xml:space="preserve"> Comments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t>Layout adjusted.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BodyText"/>
            </w:pPr>
            <w:r w:rsidRPr="00AC7BC4">
              <w:t>First release.</w:t>
            </w:r>
          </w:p>
        </w:tc>
      </w:tr>
    </w:tbl>
    <w:p w:rsidR="00115370" w:rsidP="00AC7BC4">
      <w:pPr>
        <w:pStyle w:val="BodyText"/>
      </w:pPr>
    </w:p>
    <w:p w:rsidR="00115370" w:rsidP="00AC7BC4">
      <w:pPr>
        <w:pStyle w:val="BodyText"/>
      </w:pPr>
    </w:p>
    <w:p w:rsidR="00000000" w:rsidRPr="00AC7BC4" w:rsidP="00AC7BC4">
      <w:pPr>
        <w:pStyle w:val="Heading1"/>
      </w:pPr>
      <w:bookmarkStart w:id="2" w:name="O_518546"/>
      <w:bookmarkEnd w:id="2"/>
      <w:r w:rsidRPr="00AC7BC4">
        <w:t>Unit Descriptor</w:t>
      </w:r>
    </w:p>
    <w:p w:rsidR="00000000" w:rsidRPr="00AC7BC4" w:rsidP="00AC7BC4">
      <w:pPr>
        <w:pStyle w:val="BodyText"/>
      </w:pPr>
      <w:r w:rsidRPr="00AC7BC4">
        <w:t>This unit covers the competency required to purge explosive ordnance or containers.</w:t>
      </w:r>
    </w:p>
    <w:p w:rsidR="00000000" w:rsidRPr="00AC7BC4" w:rsidP="00AC7BC4">
      <w:pPr>
        <w:pStyle w:val="AllowPageBreak"/>
      </w:pPr>
    </w:p>
    <w:p w:rsidR="00000000" w:rsidRPr="00AC7BC4" w:rsidP="00AC7BC4">
      <w:pPr>
        <w:pStyle w:val="Heading1"/>
      </w:pPr>
      <w:bookmarkStart w:id="3" w:name="O_518545"/>
      <w:bookmarkEnd w:id="3"/>
      <w:r w:rsidRPr="00AC7BC4">
        <w:t>Application of the Unit</w:t>
      </w:r>
    </w:p>
    <w:p w:rsidR="00000000" w:rsidRPr="00AC7BC4" w:rsidP="00AC7BC4">
      <w:pPr>
        <w:pStyle w:val="BodyText"/>
      </w:pPr>
      <w:r w:rsidRPr="00AC7BC4">
        <w:t>This competency normally applies to the individual who is required to purge explosive ordnance or containers.</w:t>
      </w:r>
    </w:p>
    <w:p w:rsidR="00000000" w:rsidRPr="00AC7BC4" w:rsidP="00AC7BC4">
      <w:pPr>
        <w:pStyle w:val="BodyText"/>
      </w:pPr>
      <w:r w:rsidRPr="00AC7BC4">
        <w:t>Purging of explosive ordnance or containers is required to be performed on a range of explosive ordnance and specialised c</w:t>
      </w:r>
      <w:r w:rsidRPr="00AC7BC4">
        <w:t>ontainers during maintenance processes.</w:t>
      </w:r>
    </w:p>
    <w:p w:rsidR="00000000" w:rsidRPr="00AC7BC4" w:rsidP="00AC7BC4">
      <w:pPr>
        <w:pStyle w:val="AllowPageBreak"/>
      </w:pPr>
    </w:p>
    <w:p w:rsidR="00000000" w:rsidRPr="00AC7BC4" w:rsidP="00AC7BC4">
      <w:pPr>
        <w:pStyle w:val="Heading1"/>
      </w:pPr>
      <w:bookmarkStart w:id="4" w:name="O_518544"/>
      <w:bookmarkEnd w:id="4"/>
      <w:r w:rsidRPr="00AC7BC4">
        <w:t>Licensing/Regulatory Information</w:t>
      </w:r>
    </w:p>
    <w:p w:rsidR="00000000" w:rsidRPr="00AC7BC4" w:rsidP="00AC7BC4">
      <w:pPr>
        <w:pStyle w:val="BodyText"/>
      </w:pPr>
      <w:r w:rsidRPr="00AC7BC4">
        <w:t>Not applicable.</w:t>
      </w:r>
    </w:p>
    <w:p w:rsidR="00000000" w:rsidRPr="00AC7BC4" w:rsidP="00AC7BC4">
      <w:pPr>
        <w:pStyle w:val="AllowPageBreak"/>
      </w:pPr>
    </w:p>
    <w:p w:rsidR="00000000" w:rsidRPr="00AC7BC4" w:rsidP="00AC7BC4">
      <w:pPr>
        <w:pStyle w:val="Heading1"/>
      </w:pPr>
      <w:bookmarkStart w:id="5" w:name="O_518543"/>
      <w:bookmarkEnd w:id="5"/>
      <w:r w:rsidRPr="00AC7BC4">
        <w:t>Pre-Requisites</w:t>
      </w:r>
    </w:p>
    <w:p w:rsidR="00000000" w:rsidRPr="00AC7BC4" w:rsidP="00AC7BC4">
      <w:pPr>
        <w:pStyle w:val="BodyText"/>
      </w:pPr>
      <w:r w:rsidRPr="00AC7BC4">
        <w:t xml:space="preserve">Not applicable. </w:t>
      </w:r>
    </w:p>
    <w:p w:rsidR="00000000" w:rsidRPr="00AC7BC4" w:rsidP="00AC7BC4">
      <w:pPr>
        <w:pStyle w:val="AllowPageBreak"/>
      </w:pPr>
    </w:p>
    <w:p w:rsidR="00000000" w:rsidRPr="00AC7BC4" w:rsidP="00AC7BC4">
      <w:pPr>
        <w:pStyle w:val="Heading1"/>
      </w:pPr>
      <w:bookmarkStart w:id="6" w:name="O_518542"/>
      <w:bookmarkEnd w:id="6"/>
      <w:r w:rsidRPr="00AC7BC4">
        <w:t>Employability Skills Information</w:t>
      </w:r>
    </w:p>
    <w:p w:rsidR="00000000" w:rsidRPr="00AC7BC4" w:rsidP="00AC7BC4">
      <w:pPr>
        <w:pStyle w:val="BodyText"/>
      </w:pPr>
      <w:r w:rsidRPr="00AC7BC4">
        <w:t>This unit contains employability skills.</w:t>
      </w:r>
    </w:p>
    <w:p w:rsidR="00000000" w:rsidRPr="00AC7BC4" w:rsidP="00AC7BC4">
      <w:pPr>
        <w:pStyle w:val="AllowPageBreak"/>
      </w:pPr>
    </w:p>
    <w:p w:rsidR="00000000" w:rsidRPr="00AC7BC4" w:rsidP="00AC7BC4">
      <w:pPr>
        <w:pStyle w:val="Heading1"/>
      </w:pPr>
      <w:bookmarkStart w:id="7" w:name="O_518541"/>
      <w:bookmarkEnd w:id="7"/>
      <w:r w:rsidRPr="00AC7BC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BodyText"/>
            </w:pPr>
            <w:r w:rsidRPr="00AC7BC4">
              <w:t xml:space="preserve">Performance Criteria describe the required performance needed to demonstrate achievement of the element. Where </w:t>
            </w:r>
            <w:r w:rsidRPr="00AC7BC4">
              <w:rPr>
                <w:rStyle w:val="BoldandItalics"/>
              </w:rPr>
              <w:t>bold italicised</w:t>
            </w:r>
            <w:r w:rsidRPr="00AC7BC4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AC7BC4" w:rsidP="00AC7BC4">
      <w:pPr>
        <w:pStyle w:val="BodyText"/>
      </w:pPr>
    </w:p>
    <w:p w:rsidR="00000000" w:rsidRPr="00AC7BC4" w:rsidP="00AC7BC4">
      <w:pPr>
        <w:pStyle w:val="AllowPageBreak"/>
      </w:pPr>
    </w:p>
    <w:p w:rsidR="00000000" w:rsidRPr="00AC7BC4" w:rsidP="00AC7BC4">
      <w:pPr>
        <w:pStyle w:val="Heading1"/>
      </w:pPr>
      <w:bookmarkStart w:id="8" w:name="O_518540"/>
      <w:bookmarkEnd w:id="8"/>
      <w:r w:rsidRPr="00AC7BC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BodyText"/>
            </w:pPr>
            <w:r w:rsidRPr="00AC7BC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SpecialBold"/>
              </w:rPr>
              <w:t>PERFORMANCE CRITERIA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List"/>
              <w:rPr>
                <w:lang w:val="en-NZ"/>
              </w:rPr>
            </w:pPr>
            <w:r w:rsidRPr="00AC7BC4">
              <w:t>1.</w:t>
            </w:r>
            <w:r w:rsidRPr="00AC7BC4">
              <w:tab/>
            </w:r>
            <w:r w:rsidRPr="00AC7BC4">
              <w:rPr>
                <w:rStyle w:val="SpecialBold"/>
              </w:rPr>
              <w:t>Prepare for testing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List"/>
            </w:pPr>
            <w:r w:rsidRPr="00AC7BC4">
              <w:t>1.1</w:t>
            </w:r>
            <w:r w:rsidRPr="00AC7BC4">
              <w:tab/>
            </w:r>
            <w:r w:rsidRPr="00AC7BC4">
              <w:rPr>
                <w:rStyle w:val="BoldandItalics"/>
              </w:rPr>
              <w:t>Purg</w:t>
            </w:r>
            <w:r w:rsidRPr="00AC7BC4">
              <w:rPr>
                <w:rStyle w:val="BoldandItalics"/>
              </w:rPr>
              <w:t>ing</w:t>
            </w:r>
            <w:r w:rsidRPr="00AC7BC4">
              <w:t xml:space="preserve"> requirements are identified from work requests/instructions and are confirmed</w:t>
            </w:r>
          </w:p>
          <w:p w:rsidR="00000000" w:rsidRPr="00AC7BC4" w:rsidP="00AC7BC4">
            <w:pPr>
              <w:pStyle w:val="List"/>
            </w:pPr>
            <w:r w:rsidRPr="00AC7BC4">
              <w:t>1.2</w:t>
            </w:r>
            <w:r w:rsidRPr="00AC7BC4">
              <w:tab/>
              <w:t xml:space="preserve">Work health and safety (WHS) requirements, including those contained in </w:t>
            </w:r>
            <w:r w:rsidRPr="00AC7BC4">
              <w:rPr>
                <w:rStyle w:val="BoldandItalics"/>
              </w:rPr>
              <w:t>organisational</w:t>
            </w:r>
            <w:r w:rsidRPr="00AC7BC4">
              <w:t xml:space="preserve"> procedures, are applied throughout the operation</w:t>
            </w:r>
          </w:p>
          <w:p w:rsidR="00000000" w:rsidRPr="00AC7BC4" w:rsidP="00AC7BC4">
            <w:pPr>
              <w:pStyle w:val="List"/>
            </w:pPr>
            <w:r w:rsidRPr="00AC7BC4">
              <w:t>1.3</w:t>
            </w:r>
            <w:r w:rsidRPr="00AC7BC4">
              <w:tab/>
            </w:r>
            <w:r w:rsidRPr="00AC7BC4">
              <w:rPr>
                <w:rStyle w:val="BoldandItalics"/>
              </w:rPr>
              <w:t>Technical references</w:t>
            </w:r>
            <w:r w:rsidRPr="00AC7BC4">
              <w:t>, tools an</w:t>
            </w:r>
            <w:r w:rsidRPr="00AC7BC4">
              <w:t>d equipment required for the tests are identified, acquired and prepared in accordance with organisation procedures</w:t>
            </w:r>
          </w:p>
          <w:p w:rsidR="00000000" w:rsidRPr="00AC7BC4" w:rsidP="00AC7BC4">
            <w:pPr>
              <w:pStyle w:val="List"/>
            </w:pPr>
            <w:r w:rsidRPr="00AC7BC4">
              <w:t>1.4</w:t>
            </w:r>
            <w:r w:rsidRPr="00AC7BC4">
              <w:tab/>
              <w:t xml:space="preserve">Explosive ordnance or </w:t>
            </w:r>
            <w:r w:rsidRPr="00AC7BC4">
              <w:rPr>
                <w:rStyle w:val="BoldandItalics"/>
              </w:rPr>
              <w:t>containers</w:t>
            </w:r>
            <w:r w:rsidRPr="00AC7BC4">
              <w:t xml:space="preserve"> are identified, acquired, prepared, moved and positioned in preparation for the task</w:t>
            </w:r>
          </w:p>
          <w:p w:rsidR="00000000" w:rsidRPr="00AC7BC4" w:rsidP="00AC7BC4">
            <w:pPr>
              <w:pStyle w:val="List"/>
            </w:pPr>
            <w:r w:rsidRPr="00AC7BC4">
              <w:t>1.5</w:t>
            </w:r>
            <w:r w:rsidRPr="00AC7BC4">
              <w:tab/>
            </w:r>
            <w:r w:rsidRPr="00AC7BC4">
              <w:t>Purging equipment is prepared and the required flow and pressure specifications are set in accordance with organisation procedures</w:t>
            </w:r>
          </w:p>
          <w:p w:rsidR="00000000" w:rsidRPr="00AC7BC4" w:rsidP="00AC7BC4">
            <w:pPr>
              <w:pStyle w:val="List"/>
            </w:pPr>
            <w:r w:rsidRPr="00AC7BC4">
              <w:t>1.6</w:t>
            </w:r>
            <w:r w:rsidRPr="00AC7BC4">
              <w:tab/>
            </w:r>
            <w:r w:rsidRPr="00AC7BC4">
              <w:rPr>
                <w:rStyle w:val="BoldandItalics"/>
              </w:rPr>
              <w:t>Net explosive quantities</w:t>
            </w:r>
            <w:r w:rsidRPr="00AC7BC4">
              <w:t xml:space="preserve"> and </w:t>
            </w:r>
            <w:r w:rsidRPr="00AC7BC4">
              <w:rPr>
                <w:rStyle w:val="BoldandItalics"/>
              </w:rPr>
              <w:t>compatibility</w:t>
            </w:r>
            <w:r w:rsidRPr="00AC7BC4">
              <w:t xml:space="preserve"> are identified, calculated, assessed and applied throughout the operation</w:t>
            </w:r>
          </w:p>
          <w:p w:rsidR="00000000" w:rsidP="00AC7BC4">
            <w:pPr>
              <w:pStyle w:val="List"/>
              <w:rPr>
                <w:lang w:val="en-NZ"/>
              </w:rPr>
            </w:pPr>
            <w:r w:rsidRPr="00AC7BC4">
              <w:t>1.7</w:t>
            </w:r>
            <w:r w:rsidRPr="00AC7BC4">
              <w:tab/>
            </w:r>
            <w:r w:rsidRPr="00AC7BC4">
              <w:rPr>
                <w:rStyle w:val="BoldandItalics"/>
              </w:rPr>
              <w:t>Environmental conditions</w:t>
            </w:r>
            <w:r w:rsidRPr="00AC7BC4">
              <w:t xml:space="preserve"> are monitored and maintained in accordance with organisation policy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List"/>
              <w:rPr>
                <w:lang w:val="en-NZ"/>
              </w:rPr>
            </w:pPr>
            <w:r w:rsidRPr="00AC7BC4">
              <w:t>2.</w:t>
            </w:r>
            <w:r w:rsidRPr="00AC7BC4">
              <w:tab/>
            </w:r>
            <w:r w:rsidRPr="00AC7BC4">
              <w:rPr>
                <w:rStyle w:val="SpecialBold"/>
              </w:rPr>
              <w:t>Conduct and monitor purging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List"/>
            </w:pPr>
            <w:r w:rsidRPr="00AC7BC4">
              <w:t>2.1</w:t>
            </w:r>
            <w:r w:rsidRPr="00AC7BC4">
              <w:tab/>
              <w:t xml:space="preserve">Purging process is </w:t>
            </w:r>
            <w:r w:rsidRPr="00AC7BC4">
              <w:rPr>
                <w:rStyle w:val="BoldandItalics"/>
              </w:rPr>
              <w:t xml:space="preserve">monitored </w:t>
            </w:r>
            <w:r w:rsidRPr="00AC7BC4">
              <w:t>in accordance with organisation procedures</w:t>
            </w:r>
          </w:p>
          <w:p w:rsidR="00000000" w:rsidRPr="00AC7BC4" w:rsidP="00AC7BC4">
            <w:pPr>
              <w:pStyle w:val="List"/>
            </w:pPr>
            <w:r w:rsidRPr="00AC7BC4">
              <w:t>2.2</w:t>
            </w:r>
            <w:r w:rsidRPr="00AC7BC4">
              <w:tab/>
            </w:r>
            <w:r w:rsidRPr="00AC7BC4">
              <w:t>Explosive ordnance or container is purged in accordance with organisation policy and procedures</w:t>
            </w:r>
          </w:p>
          <w:p w:rsidR="00000000" w:rsidP="00AC7BC4">
            <w:pPr>
              <w:pStyle w:val="List"/>
              <w:rPr>
                <w:lang w:val="en-NZ"/>
              </w:rPr>
            </w:pPr>
            <w:r w:rsidRPr="00AC7BC4">
              <w:t>2.3</w:t>
            </w:r>
            <w:r w:rsidRPr="00AC7BC4">
              <w:tab/>
              <w:t>Emergency and contingency procedures are applied in accordance with organisation policy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List"/>
              <w:rPr>
                <w:lang w:val="en-NZ"/>
              </w:rPr>
            </w:pPr>
            <w:r w:rsidRPr="00AC7BC4">
              <w:t>3.</w:t>
            </w:r>
            <w:r w:rsidRPr="00AC7BC4">
              <w:tab/>
            </w:r>
            <w:r w:rsidRPr="00AC7BC4">
              <w:rPr>
                <w:rStyle w:val="SpecialBold"/>
              </w:rPr>
              <w:t>Finalise purging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List"/>
            </w:pPr>
            <w:r w:rsidRPr="00AC7BC4">
              <w:t>3.1</w:t>
            </w:r>
            <w:r w:rsidRPr="00AC7BC4">
              <w:tab/>
              <w:t>Explosive ordnance or containers</w:t>
            </w:r>
            <w:r w:rsidRPr="00AC7BC4">
              <w:t xml:space="preserve"> are </w:t>
            </w:r>
            <w:r w:rsidRPr="00AC7BC4">
              <w:rPr>
                <w:rStyle w:val="BoldandItalics"/>
              </w:rPr>
              <w:t xml:space="preserve">processed </w:t>
            </w:r>
            <w:r w:rsidRPr="00AC7BC4">
              <w:t>in accordance with the requirements specified in the work request</w:t>
            </w:r>
          </w:p>
          <w:p w:rsidR="00000000" w:rsidRPr="00AC7BC4" w:rsidP="00AC7BC4">
            <w:pPr>
              <w:pStyle w:val="List"/>
            </w:pPr>
            <w:r w:rsidRPr="00AC7BC4">
              <w:t>3.2</w:t>
            </w:r>
            <w:r w:rsidRPr="00AC7BC4">
              <w:tab/>
              <w:t>Equipment/tools are maintained in accordance with organisation policy and procedures</w:t>
            </w:r>
          </w:p>
          <w:p w:rsidR="00000000" w:rsidRPr="00AC7BC4" w:rsidP="00AC7BC4">
            <w:pPr>
              <w:pStyle w:val="List"/>
            </w:pPr>
            <w:r w:rsidRPr="00AC7BC4">
              <w:t>3.3</w:t>
            </w:r>
            <w:r w:rsidRPr="00AC7BC4">
              <w:tab/>
            </w:r>
            <w:r w:rsidRPr="00AC7BC4">
              <w:rPr>
                <w:rStyle w:val="BoldandItalics"/>
              </w:rPr>
              <w:t>Documentation and records</w:t>
            </w:r>
            <w:r w:rsidRPr="00AC7BC4">
              <w:t xml:space="preserve"> are maintained in accordance with statutory, organisatio</w:t>
            </w:r>
            <w:r w:rsidRPr="00AC7BC4">
              <w:t>n and workshop requirements</w:t>
            </w:r>
          </w:p>
        </w:tc>
      </w:tr>
    </w:tbl>
    <w:p w:rsidR="00000000" w:rsidRPr="00AC7BC4" w:rsidP="00AC7BC4">
      <w:pPr>
        <w:pStyle w:val="BodyText"/>
      </w:pPr>
    </w:p>
    <w:p w:rsidR="00000000" w:rsidRPr="00AC7BC4" w:rsidP="00AC7BC4">
      <w:pPr>
        <w:pStyle w:val="AllowPageBreak"/>
      </w:pPr>
    </w:p>
    <w:p w:rsidR="00000000" w:rsidRPr="00AC7BC4" w:rsidP="00AC7BC4">
      <w:pPr>
        <w:pStyle w:val="Heading1"/>
      </w:pPr>
      <w:bookmarkStart w:id="9" w:name="O_518539"/>
      <w:bookmarkEnd w:id="9"/>
      <w:r w:rsidRPr="00AC7BC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t>This describes the essential skills and knowledge and their level, required for this unit.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SpecialBold"/>
              </w:rPr>
              <w:t>Required Skills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ListBullet"/>
            </w:pPr>
            <w:r w:rsidRPr="00AC7BC4">
              <w:t>apply compatibility constraints</w:t>
            </w:r>
          </w:p>
          <w:p w:rsidR="00000000" w:rsidRPr="00AC7BC4" w:rsidP="00AC7BC4">
            <w:pPr>
              <w:pStyle w:val="ListBullet"/>
            </w:pPr>
            <w:r w:rsidRPr="00AC7BC4">
              <w:t>apply environmental constraints</w:t>
            </w:r>
          </w:p>
          <w:p w:rsidR="00000000" w:rsidRPr="00AC7BC4" w:rsidP="00AC7BC4">
            <w:pPr>
              <w:pStyle w:val="ListBullet"/>
            </w:pPr>
            <w:r w:rsidRPr="00AC7BC4">
              <w:t>apply safety policies and structures</w:t>
            </w:r>
          </w:p>
          <w:p w:rsidR="00000000" w:rsidRPr="00AC7BC4" w:rsidP="00AC7BC4">
            <w:pPr>
              <w:pStyle w:val="ListBullet"/>
            </w:pPr>
            <w:r w:rsidRPr="00AC7BC4">
              <w:t>calculate net explosive quantity</w:t>
            </w:r>
          </w:p>
          <w:p w:rsidR="00000000" w:rsidRPr="00AC7BC4" w:rsidP="00AC7BC4">
            <w:pPr>
              <w:pStyle w:val="ListBullet"/>
            </w:pPr>
            <w:r w:rsidRPr="00AC7BC4">
              <w:t>communicate orally and in writing</w:t>
            </w:r>
          </w:p>
          <w:p w:rsidR="00000000" w:rsidRPr="00AC7BC4" w:rsidP="00AC7BC4">
            <w:pPr>
              <w:pStyle w:val="ListBullet"/>
            </w:pPr>
            <w:r w:rsidRPr="00AC7BC4">
              <w:t>conduct housekeeping</w:t>
            </w:r>
          </w:p>
          <w:p w:rsidR="00000000" w:rsidRPr="00AC7BC4" w:rsidP="00AC7BC4">
            <w:pPr>
              <w:pStyle w:val="ListBullet"/>
            </w:pPr>
            <w:r w:rsidRPr="00AC7BC4">
              <w:t>identify gases used for purging</w:t>
            </w:r>
          </w:p>
          <w:p w:rsidR="00000000" w:rsidRPr="00AC7BC4" w:rsidP="00AC7BC4">
            <w:pPr>
              <w:pStyle w:val="ListBullet"/>
            </w:pPr>
            <w:r w:rsidRPr="00AC7BC4">
              <w:t>maintain documentation</w:t>
            </w:r>
          </w:p>
          <w:p w:rsidR="00000000" w:rsidRPr="00AC7BC4" w:rsidP="00AC7BC4">
            <w:pPr>
              <w:pStyle w:val="ListBullet"/>
            </w:pPr>
            <w:r w:rsidRPr="00AC7BC4">
              <w:t>monitor pressures</w:t>
            </w:r>
          </w:p>
          <w:p w:rsidR="00000000" w:rsidRPr="00AC7BC4" w:rsidP="00AC7BC4">
            <w:pPr>
              <w:pStyle w:val="ListBullet"/>
            </w:pPr>
            <w:r w:rsidRPr="00AC7BC4">
              <w:t>operate purging equipment</w:t>
            </w:r>
          </w:p>
          <w:p w:rsidR="00000000" w:rsidP="00AC7BC4">
            <w:pPr>
              <w:pStyle w:val="ListBullet"/>
              <w:rPr>
                <w:lang w:val="en-NZ"/>
              </w:rPr>
            </w:pPr>
            <w:r w:rsidRPr="00AC7BC4">
              <w:t>read, access, interpret and apply technical instructions and drawings related to purging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SpecialBold"/>
              </w:rPr>
              <w:t>Required Knowledge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ListBullet"/>
            </w:pPr>
            <w:r w:rsidRPr="00AC7BC4">
              <w:t>assessment of compatibility</w:t>
            </w:r>
          </w:p>
          <w:p w:rsidR="00000000" w:rsidRPr="00AC7BC4" w:rsidP="00AC7BC4">
            <w:pPr>
              <w:pStyle w:val="ListBullet"/>
            </w:pPr>
            <w:r w:rsidRPr="00AC7BC4">
              <w:t>calculation of net explosive quantity</w:t>
            </w:r>
          </w:p>
          <w:p w:rsidR="00000000" w:rsidRPr="00AC7BC4" w:rsidP="00AC7BC4">
            <w:pPr>
              <w:pStyle w:val="ListBullet"/>
            </w:pPr>
            <w:r w:rsidRPr="00AC7BC4">
              <w:t>characteristics and limitations of purging equipment</w:t>
            </w:r>
          </w:p>
          <w:p w:rsidR="00000000" w:rsidRPr="00AC7BC4" w:rsidP="00AC7BC4">
            <w:pPr>
              <w:pStyle w:val="ListBullet"/>
            </w:pPr>
            <w:r w:rsidRPr="00AC7BC4">
              <w:t>effects of environmental c</w:t>
            </w:r>
            <w:r w:rsidRPr="00AC7BC4">
              <w:t>onditions</w:t>
            </w:r>
          </w:p>
          <w:p w:rsidR="00000000" w:rsidRPr="00AC7BC4" w:rsidP="00AC7BC4">
            <w:pPr>
              <w:pStyle w:val="ListBullet"/>
            </w:pPr>
            <w:r w:rsidRPr="00AC7BC4">
              <w:t>gases used for purging</w:t>
            </w:r>
          </w:p>
          <w:p w:rsidR="00000000" w:rsidRPr="00AC7BC4" w:rsidP="00AC7BC4">
            <w:pPr>
              <w:pStyle w:val="ListBullet"/>
            </w:pPr>
            <w:r w:rsidRPr="00AC7BC4">
              <w:t>operability of purging equipment</w:t>
            </w:r>
          </w:p>
          <w:p w:rsidR="00000000" w:rsidRPr="00AC7BC4" w:rsidP="00AC7BC4">
            <w:pPr>
              <w:pStyle w:val="ListBullet"/>
            </w:pPr>
            <w:r w:rsidRPr="00AC7BC4">
              <w:t>organisational documentation requirements</w:t>
            </w:r>
          </w:p>
          <w:p w:rsidR="00000000" w:rsidRPr="00AC7BC4" w:rsidP="00AC7BC4">
            <w:pPr>
              <w:pStyle w:val="ListBullet"/>
            </w:pPr>
            <w:r w:rsidRPr="00AC7BC4">
              <w:t>organisational safety policies and structures</w:t>
            </w:r>
          </w:p>
          <w:p w:rsidR="00000000" w:rsidRPr="00AC7BC4" w:rsidP="00AC7BC4">
            <w:pPr>
              <w:pStyle w:val="ListBullet"/>
            </w:pPr>
            <w:r w:rsidRPr="00AC7BC4">
              <w:t>organisational safety information sources</w:t>
            </w:r>
          </w:p>
        </w:tc>
      </w:tr>
    </w:tbl>
    <w:p w:rsidR="00000000" w:rsidRPr="00AC7BC4" w:rsidP="00AC7BC4">
      <w:pPr>
        <w:pStyle w:val="BodyText"/>
      </w:pPr>
    </w:p>
    <w:p w:rsidR="00000000" w:rsidRPr="00AC7BC4" w:rsidP="00AC7BC4">
      <w:pPr>
        <w:pStyle w:val="AllowPageBreak"/>
      </w:pPr>
    </w:p>
    <w:p w:rsidR="00000000" w:rsidRPr="00AC7BC4" w:rsidP="00AC7BC4">
      <w:pPr>
        <w:pStyle w:val="Heading1"/>
      </w:pPr>
      <w:bookmarkStart w:id="10" w:name="O_518538"/>
      <w:bookmarkEnd w:id="10"/>
      <w:r w:rsidRPr="00AC7BC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BodyText"/>
            </w:pPr>
            <w:r w:rsidRPr="00AC7BC4">
              <w:t>Assessment must confirm the ability to comply with:</w:t>
            </w:r>
          </w:p>
          <w:p w:rsidR="00000000" w:rsidRPr="00AC7BC4" w:rsidP="00AC7BC4">
            <w:pPr>
              <w:pStyle w:val="ListBullet"/>
            </w:pPr>
            <w:r w:rsidRPr="00AC7BC4">
              <w:t>organisational safety requirements</w:t>
            </w:r>
          </w:p>
          <w:p w:rsidR="00000000" w:rsidRPr="00AC7BC4" w:rsidP="00AC7BC4">
            <w:pPr>
              <w:pStyle w:val="ListBullet"/>
            </w:pPr>
            <w:r w:rsidRPr="00AC7BC4">
              <w:t xml:space="preserve"> appropriate legislative and regulatory requirements</w:t>
            </w:r>
          </w:p>
          <w:p w:rsidR="00000000" w:rsidRPr="00AC7BC4" w:rsidP="00AC7BC4">
            <w:pPr>
              <w:pStyle w:val="BodyText"/>
            </w:pPr>
            <w:r w:rsidRPr="00AC7BC4">
              <w:t>Assessment must also c</w:t>
            </w:r>
            <w:r w:rsidRPr="00AC7BC4">
              <w:t>onfirm the ability to work safely within an explosive ordnance environment and to:</w:t>
            </w:r>
          </w:p>
          <w:p w:rsidR="00000000" w:rsidRPr="00AC7BC4" w:rsidP="00AC7BC4">
            <w:pPr>
              <w:pStyle w:val="ListBullet"/>
            </w:pPr>
            <w:r w:rsidRPr="00AC7BC4">
              <w:t>calculate and apply net explosive quantity</w:t>
            </w:r>
          </w:p>
          <w:p w:rsidR="00000000" w:rsidRPr="00AC7BC4" w:rsidP="00AC7BC4">
            <w:pPr>
              <w:pStyle w:val="ListBullet"/>
            </w:pPr>
            <w:r w:rsidRPr="00AC7BC4">
              <w:t>assess and apply compatibility</w:t>
            </w:r>
          </w:p>
          <w:p w:rsidR="00000000" w:rsidRPr="00AC7BC4" w:rsidP="00AC7BC4">
            <w:pPr>
              <w:pStyle w:val="ListBullet"/>
            </w:pPr>
            <w:r w:rsidRPr="00AC7BC4">
              <w:t>maintain documentation</w:t>
            </w:r>
          </w:p>
          <w:p w:rsidR="00000000" w:rsidRPr="00AC7BC4" w:rsidP="00AC7BC4">
            <w:pPr>
              <w:pStyle w:val="BodyText"/>
            </w:pPr>
            <w:r w:rsidRPr="00AC7BC4">
              <w:rPr>
                <w:rStyle w:val="SpecialBold"/>
              </w:rPr>
              <w:t>Consistency in performance</w:t>
            </w:r>
          </w:p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t xml:space="preserve">Competency should be demonstrated in a range of </w:t>
            </w:r>
            <w:r w:rsidRPr="00AC7BC4">
              <w:t>actual or simulated explosive ordnance contexts.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BodyText"/>
            </w:pPr>
            <w:r w:rsidRPr="00AC7BC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BodyText"/>
            </w:pPr>
            <w:r w:rsidRPr="00AC7BC4">
              <w:rPr>
                <w:rStyle w:val="SpecialBold"/>
              </w:rPr>
              <w:t>Context of assessment</w:t>
            </w:r>
          </w:p>
          <w:p w:rsidR="00000000" w:rsidRPr="00AC7BC4" w:rsidP="00AC7BC4">
            <w:pPr>
              <w:pStyle w:val="BodyText"/>
            </w:pPr>
            <w:r w:rsidRPr="00AC7BC4">
              <w:t>Competency should be assessed in the workplace or in a simulated work environment, in accordance with all relevant legislation and organisation requirements.</w:t>
            </w:r>
          </w:p>
          <w:p w:rsidR="00000000" w:rsidRPr="00AC7BC4" w:rsidP="00AC7BC4">
            <w:pPr>
              <w:pStyle w:val="BodyText"/>
            </w:pPr>
            <w:r w:rsidRPr="00AC7BC4">
              <w:rPr>
                <w:rStyle w:val="SpecialBold"/>
              </w:rPr>
              <w:t>Specific resources for assessment</w:t>
            </w:r>
          </w:p>
          <w:p w:rsidR="00000000" w:rsidRPr="00AC7BC4" w:rsidP="00AC7BC4">
            <w:pPr>
              <w:pStyle w:val="BodyText"/>
            </w:pPr>
            <w:r w:rsidRPr="00AC7BC4">
              <w:t>Access is required to:</w:t>
            </w:r>
          </w:p>
          <w:p w:rsidR="00000000" w:rsidP="00AC7BC4">
            <w:pPr>
              <w:pStyle w:val="ListBullet"/>
              <w:rPr>
                <w:lang w:val="en-NZ"/>
              </w:rPr>
            </w:pPr>
            <w:r w:rsidRPr="00AC7BC4">
              <w:t>facilities and resources used in the sto</w:t>
            </w:r>
            <w:r w:rsidRPr="00AC7BC4">
              <w:t>rage, distribution or maintenance of explosive ordnance, including a licensed explosive site.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SpecialBold"/>
              </w:rPr>
              <w:t>Method of assessment</w:t>
            </w:r>
            <w:r w:rsidRPr="00AC7BC4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BodyText"/>
            </w:pPr>
            <w:r w:rsidRPr="00AC7BC4">
              <w:t>This unit may be assessed with the following unit:</w:t>
            </w:r>
          </w:p>
          <w:p w:rsidR="00000000" w:rsidRPr="00AC7BC4" w:rsidP="00AC7BC4">
            <w:pPr>
              <w:pStyle w:val="ListBullet"/>
            </w:pPr>
            <w:r w:rsidRPr="00AC7BC4">
              <w:t>DEFEO101D Work safely with explosive ordnance.</w:t>
            </w:r>
          </w:p>
          <w:p w:rsidR="00000000" w:rsidRPr="00AC7BC4" w:rsidP="00AC7BC4">
            <w:pPr>
              <w:pStyle w:val="BodyText"/>
            </w:pPr>
            <w:r w:rsidRPr="00AC7BC4">
              <w:t>In a public safety environment assessmen</w:t>
            </w:r>
            <w:r w:rsidRPr="00AC7BC4">
              <w:t>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AC7BC4" w:rsidP="00AC7BC4">
            <w:pPr>
              <w:pStyle w:val="BodyText"/>
            </w:pPr>
            <w:r w:rsidRPr="00AC7BC4">
              <w:t>Assessment is completed using appropriately qualified assesso</w:t>
            </w:r>
            <w:r w:rsidRPr="00AC7BC4">
              <w:t>rs who select the most appropriate method of assessment.</w:t>
            </w:r>
          </w:p>
          <w:p w:rsidR="00000000" w:rsidRPr="00AC7BC4" w:rsidP="00AC7BC4">
            <w:pPr>
              <w:pStyle w:val="BodyText"/>
            </w:pPr>
            <w:r w:rsidRPr="00AC7BC4">
              <w:t>Assessment may occur in an operational environment or in an industry-approved simulated work environment. Forms of assessment that are typically used include:</w:t>
            </w:r>
          </w:p>
          <w:p w:rsidR="00000000" w:rsidRPr="00AC7BC4" w:rsidP="00AC7BC4">
            <w:pPr>
              <w:pStyle w:val="ListBullet"/>
            </w:pPr>
            <w:r w:rsidRPr="00AC7BC4">
              <w:t>direct observation</w:t>
            </w:r>
          </w:p>
          <w:p w:rsidR="00000000" w:rsidRPr="00AC7BC4" w:rsidP="00AC7BC4">
            <w:pPr>
              <w:pStyle w:val="ListBullet"/>
            </w:pPr>
            <w:r w:rsidRPr="00AC7BC4">
              <w:t>interviewing the candidate</w:t>
            </w:r>
          </w:p>
          <w:p w:rsidR="00000000" w:rsidRPr="00AC7BC4" w:rsidP="00AC7BC4">
            <w:pPr>
              <w:pStyle w:val="ListBullet"/>
            </w:pPr>
            <w:r w:rsidRPr="00AC7BC4">
              <w:t>journals and workplace documentation</w:t>
            </w:r>
          </w:p>
          <w:p w:rsidR="00000000" w:rsidRPr="00AC7BC4" w:rsidP="00AC7BC4">
            <w:pPr>
              <w:pStyle w:val="ListBullet"/>
            </w:pPr>
            <w:r w:rsidRPr="00AC7BC4">
              <w:t>third party reports from supervisors</w:t>
            </w:r>
          </w:p>
          <w:p w:rsidR="00000000" w:rsidRPr="00AC7BC4" w:rsidP="00AC7BC4">
            <w:pPr>
              <w:pStyle w:val="ListBullet"/>
            </w:pPr>
            <w:r w:rsidRPr="00AC7BC4">
              <w:t>written or oral questions</w:t>
            </w:r>
          </w:p>
        </w:tc>
      </w:tr>
    </w:tbl>
    <w:p w:rsidR="00000000" w:rsidRPr="00AC7BC4" w:rsidP="00AC7BC4">
      <w:pPr>
        <w:pStyle w:val="BodyText"/>
      </w:pPr>
    </w:p>
    <w:p w:rsidR="00000000" w:rsidRPr="00AC7BC4" w:rsidP="00AC7BC4">
      <w:pPr>
        <w:pStyle w:val="AllowPageBreak"/>
      </w:pPr>
    </w:p>
    <w:p w:rsidR="00000000" w:rsidRPr="00AC7BC4" w:rsidP="00AC7BC4">
      <w:pPr>
        <w:pStyle w:val="Heading1"/>
      </w:pPr>
      <w:bookmarkStart w:id="11" w:name="O_518537"/>
      <w:bookmarkEnd w:id="11"/>
      <w:r w:rsidRPr="00AC7BC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t>The Range Statement relates to the Unit of Competency as a whole. It allows for different work</w:t>
            </w:r>
            <w:r w:rsidRPr="00AC7BC4">
              <w:t xml:space="preserve"> environments and situations that may affect performance. </w:t>
            </w:r>
            <w:r w:rsidRPr="00AC7BC4">
              <w:rPr>
                <w:rStyle w:val="BoldandItalics"/>
              </w:rPr>
              <w:t>Bold italicised</w:t>
            </w:r>
            <w:r w:rsidRPr="00AC7BC4">
              <w:t xml:space="preserve"> wording in the Performance Criteria is detailed below.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BoldandItalics"/>
              </w:rPr>
              <w:t xml:space="preserve">Purging </w:t>
            </w:r>
            <w:r w:rsidRPr="00AC7BC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ListBullet"/>
            </w:pPr>
            <w:r w:rsidRPr="00AC7BC4">
              <w:t>Maintenance of specified pressures</w:t>
            </w:r>
          </w:p>
          <w:p w:rsidR="00000000" w:rsidRPr="00AC7BC4" w:rsidP="00AC7BC4">
            <w:pPr>
              <w:pStyle w:val="ListBullet"/>
            </w:pPr>
            <w:r w:rsidRPr="00AC7BC4">
              <w:t>Replacement of air with another gas</w:t>
            </w:r>
          </w:p>
          <w:p w:rsidR="00000000" w:rsidP="00AC7BC4">
            <w:pPr>
              <w:pStyle w:val="ListBullet"/>
              <w:rPr>
                <w:lang w:val="en-NZ"/>
              </w:rPr>
            </w:pPr>
            <w:r w:rsidRPr="00AC7BC4">
              <w:t>Total evacuation of air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BoldandItalics"/>
              </w:rPr>
              <w:t xml:space="preserve">Organisation </w:t>
            </w:r>
            <w:r w:rsidRPr="00AC7BC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ListBullet"/>
            </w:pPr>
            <w:r w:rsidRPr="00AC7BC4">
              <w:t>Defence organisation</w:t>
            </w:r>
          </w:p>
          <w:p w:rsidR="00000000" w:rsidRPr="00AC7BC4" w:rsidP="00AC7BC4">
            <w:pPr>
              <w:pStyle w:val="ListBullet"/>
            </w:pPr>
            <w:r w:rsidRPr="00AC7BC4">
              <w:t xml:space="preserve">Enterprises that work with explosive ordnance </w:t>
            </w:r>
          </w:p>
          <w:p w:rsidR="00000000" w:rsidP="00AC7BC4">
            <w:pPr>
              <w:pStyle w:val="ListBullet"/>
              <w:rPr>
                <w:lang w:val="en-NZ"/>
              </w:rPr>
            </w:pPr>
            <w:r w:rsidRPr="00AC7BC4">
              <w:t>Other government departments or instrumentalities that work with explosive ordnance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BoldandItalics"/>
              </w:rPr>
              <w:t>Technical references</w:t>
            </w:r>
            <w:r w:rsidRPr="00AC7BC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ListBullet"/>
            </w:pPr>
            <w:r w:rsidRPr="00AC7BC4">
              <w:t>Technical drawings</w:t>
            </w:r>
          </w:p>
          <w:p w:rsidR="00000000" w:rsidRPr="00AC7BC4" w:rsidP="00AC7BC4">
            <w:pPr>
              <w:pStyle w:val="ListBullet"/>
            </w:pPr>
            <w:r w:rsidRPr="00AC7BC4">
              <w:t>Technical reference pamphlets</w:t>
            </w:r>
          </w:p>
          <w:p w:rsidR="00000000" w:rsidRPr="00AC7BC4" w:rsidP="00AC7BC4">
            <w:pPr>
              <w:pStyle w:val="ListBullet"/>
            </w:pPr>
            <w:r w:rsidRPr="00AC7BC4">
              <w:t>Orders and instructions</w:t>
            </w:r>
          </w:p>
          <w:p w:rsidR="00000000" w:rsidP="00AC7BC4">
            <w:pPr>
              <w:pStyle w:val="ListBullet"/>
              <w:rPr>
                <w:lang w:val="en-NZ"/>
              </w:rPr>
            </w:pPr>
            <w:r w:rsidRPr="00AC7BC4">
              <w:t>Other publications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BoldandItalics"/>
              </w:rPr>
              <w:t xml:space="preserve">Containers </w:t>
            </w:r>
            <w:r w:rsidRPr="00AC7BC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ListBullet"/>
            </w:pPr>
            <w:r w:rsidRPr="00AC7BC4">
              <w:t>Missile containers</w:t>
            </w:r>
          </w:p>
          <w:p w:rsidR="00000000" w:rsidRPr="00AC7BC4" w:rsidP="00AC7BC4">
            <w:pPr>
              <w:pStyle w:val="ListBullet"/>
            </w:pPr>
            <w:r w:rsidRPr="00AC7BC4">
              <w:t>Torpedo containers</w:t>
            </w:r>
          </w:p>
          <w:p w:rsidR="00000000" w:rsidP="00AC7BC4">
            <w:pPr>
              <w:pStyle w:val="ListBullet"/>
              <w:rPr>
                <w:lang w:val="en-NZ"/>
              </w:rPr>
            </w:pPr>
            <w:r w:rsidRPr="00AC7BC4">
              <w:t>Other pressurised containers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BoldandItalics"/>
              </w:rPr>
              <w:t>Net explosive quantities</w:t>
            </w:r>
            <w:r w:rsidRPr="00AC7BC4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ListBullet"/>
              <w:rPr>
                <w:lang w:val="en-NZ"/>
              </w:rPr>
            </w:pPr>
            <w:r w:rsidRPr="00AC7BC4">
              <w:t>The explosive capacity calculated in a wide range of a</w:t>
            </w:r>
            <w:r w:rsidRPr="00AC7BC4">
              <w:t>ctivities related to the storage, distribution and maintenance of explosive ordnance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BoldandItalics"/>
              </w:rPr>
              <w:t xml:space="preserve">Compatibility </w:t>
            </w:r>
            <w:r w:rsidRPr="00AC7BC4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ListBullet"/>
              <w:rPr>
                <w:lang w:val="en-NZ"/>
              </w:rPr>
            </w:pPr>
            <w:r w:rsidRPr="00AC7BC4">
              <w:t>Assessed in a wide range of activities related to the storage, distribution and maintenance of explosive ordnance and other hazardous materials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BoldandItalics"/>
              </w:rPr>
              <w:t>Environmental conditions</w:t>
            </w:r>
            <w:r w:rsidRPr="00AC7BC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ListBullet"/>
            </w:pPr>
            <w:r w:rsidRPr="00AC7BC4">
              <w:t>Air quality</w:t>
            </w:r>
          </w:p>
          <w:p w:rsidR="00000000" w:rsidRPr="00AC7BC4" w:rsidP="00AC7BC4">
            <w:pPr>
              <w:pStyle w:val="ListBullet"/>
            </w:pPr>
            <w:r w:rsidRPr="00AC7BC4">
              <w:t>Heat</w:t>
            </w:r>
          </w:p>
          <w:p w:rsidR="00000000" w:rsidRPr="00AC7BC4" w:rsidP="00AC7BC4">
            <w:pPr>
              <w:pStyle w:val="ListBullet"/>
            </w:pPr>
            <w:r w:rsidRPr="00AC7BC4">
              <w:t>Humidity</w:t>
            </w:r>
          </w:p>
          <w:p w:rsidR="00000000" w:rsidP="00AC7BC4">
            <w:pPr>
              <w:pStyle w:val="ListBullet"/>
              <w:rPr>
                <w:lang w:val="en-NZ"/>
              </w:rPr>
            </w:pPr>
            <w:r w:rsidRPr="00AC7BC4">
              <w:t>Pressure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BoldandItalics"/>
              </w:rPr>
              <w:t xml:space="preserve">Monitoring </w:t>
            </w:r>
            <w:r w:rsidRPr="00AC7BC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ListBullet"/>
              <w:rPr>
                <w:lang w:val="en-NZ"/>
              </w:rPr>
            </w:pPr>
            <w:r w:rsidRPr="00AC7BC4">
              <w:t>Maintaining specified pressures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BoldandItalics"/>
              </w:rPr>
              <w:t xml:space="preserve">Processing </w:t>
            </w:r>
            <w:r w:rsidRPr="00AC7BC4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ListBullet"/>
              <w:rPr>
                <w:lang w:val="en-NZ"/>
              </w:rPr>
            </w:pPr>
            <w:r w:rsidRPr="00AC7BC4">
              <w:t>Forwarding explosive ordnance or containers for inspection, testing, maintenance, storage or issue</w:t>
            </w:r>
            <w:r w:rsidRPr="00AC7BC4">
              <w:t>, and may include some additional preparation such as packaging</w:t>
            </w:r>
          </w:p>
        </w:tc>
      </w:tr>
      <w:tr w:rsidTr="00115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C4">
            <w:pPr>
              <w:pStyle w:val="BodyText"/>
              <w:rPr>
                <w:lang w:val="en-NZ"/>
              </w:rPr>
            </w:pPr>
            <w:r w:rsidRPr="00AC7BC4">
              <w:rPr>
                <w:rStyle w:val="BoldandItalics"/>
              </w:rPr>
              <w:t>Documentation and records</w:t>
            </w:r>
            <w:r w:rsidRPr="00AC7BC4">
              <w:t xml:space="preserve"> may include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C4" w:rsidP="00AC7BC4">
            <w:pPr>
              <w:pStyle w:val="ListBullet"/>
            </w:pPr>
            <w:r w:rsidRPr="00AC7BC4">
              <w:t>Receipt and issue records</w:t>
            </w:r>
          </w:p>
          <w:p w:rsidR="00000000" w:rsidRPr="00AC7BC4" w:rsidP="00AC7BC4">
            <w:pPr>
              <w:pStyle w:val="ListBullet"/>
            </w:pPr>
            <w:r w:rsidRPr="00AC7BC4">
              <w:t>Timesheets</w:t>
            </w:r>
          </w:p>
          <w:p w:rsidR="00000000" w:rsidRPr="00AC7BC4" w:rsidP="00AC7BC4">
            <w:pPr>
              <w:pStyle w:val="ListBullet"/>
            </w:pPr>
            <w:r w:rsidRPr="00AC7BC4">
              <w:t>Work records</w:t>
            </w:r>
          </w:p>
        </w:tc>
      </w:tr>
    </w:tbl>
    <w:p w:rsidR="00000000" w:rsidRPr="00AC7BC4" w:rsidP="00AC7BC4">
      <w:pPr>
        <w:pStyle w:val="BodyText"/>
      </w:pPr>
    </w:p>
    <w:p w:rsidR="00000000" w:rsidRPr="00AC7BC4" w:rsidP="00AC7BC4">
      <w:pPr>
        <w:pStyle w:val="AllowPageBreak"/>
      </w:pPr>
    </w:p>
    <w:p w:rsidR="00000000" w:rsidRPr="00AC7BC4" w:rsidP="00AC7BC4">
      <w:pPr>
        <w:pStyle w:val="Heading1"/>
      </w:pPr>
      <w:bookmarkStart w:id="12" w:name="O_518536"/>
      <w:bookmarkEnd w:id="12"/>
      <w:r w:rsidRPr="00AC7BC4">
        <w:t>Unit Sector(s)</w:t>
      </w:r>
    </w:p>
    <w:p w:rsidR="00000000" w:rsidRPr="00AC7BC4" w:rsidP="00AC7BC4">
      <w:pPr>
        <w:pStyle w:val="BodyText"/>
      </w:pPr>
      <w:r w:rsidRPr="00AC7BC4">
        <w:t>Not applicable.</w:t>
      </w:r>
    </w:p>
    <w:p w:rsidR="00000000" w:rsidRPr="00AC7BC4" w:rsidP="00AC7BC4"/>
    <w:sectPr w:rsidSect="00AC7B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C4" w:rsidRPr="00115370" w:rsidP="0011537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370" w:rsidP="00AC7B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15370" w:rsidP="00AC7B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15370" w:rsidP="00AC7B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C4" w:rsidRPr="00115370" w:rsidP="0011537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370" w:rsidRPr="002D2AF8" w:rsidP="00AC7B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DEFEO509D Perform purging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115370" w:rsidP="00AC7B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EA5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5CC8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B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B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B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B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B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B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B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B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B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B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B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BC4"/>
  </w:style>
  <w:style w:type="character" w:customStyle="1" w:styleId="Heading1Char">
    <w:name w:val="Heading 1 Char"/>
    <w:basedOn w:val="DefaultParagraphFont"/>
    <w:link w:val="Heading1"/>
    <w:rsid w:val="00AC7B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BC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B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7B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7B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7BC4"/>
    <w:rPr>
      <w:b/>
      <w:spacing w:val="0"/>
    </w:rPr>
  </w:style>
  <w:style w:type="paragraph" w:customStyle="1" w:styleId="SuperHeading">
    <w:name w:val="SuperHeading"/>
    <w:basedOn w:val="Normal"/>
    <w:rsid w:val="00AC7B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B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C7BC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C7B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B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B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B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B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B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B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B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B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B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B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B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B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B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B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B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7B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7B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B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B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7BC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7B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B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B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B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B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B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B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B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B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7BC4"/>
    <w:rPr>
      <w:i/>
    </w:rPr>
  </w:style>
  <w:style w:type="paragraph" w:styleId="Caption">
    <w:name w:val="caption"/>
    <w:basedOn w:val="BodyText"/>
    <w:next w:val="Normal"/>
    <w:qFormat/>
    <w:rsid w:val="00AC7B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B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B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BC4"/>
  </w:style>
  <w:style w:type="paragraph" w:styleId="TableofFigures">
    <w:name w:val="table of figures"/>
    <w:basedOn w:val="Normal"/>
    <w:next w:val="Normal"/>
    <w:semiHidden/>
    <w:rsid w:val="00AC7B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BC4"/>
    <w:pPr>
      <w:numPr>
        <w:numId w:val="10"/>
      </w:numPr>
    </w:pPr>
  </w:style>
  <w:style w:type="character" w:customStyle="1" w:styleId="WingdingSymbols">
    <w:name w:val="Wingding Symbols"/>
    <w:rsid w:val="00AC7BC4"/>
    <w:rPr>
      <w:rFonts w:ascii="Wingdings" w:hAnsi="Wingdings"/>
    </w:rPr>
  </w:style>
  <w:style w:type="paragraph" w:customStyle="1" w:styleId="TableHeading">
    <w:name w:val="Table Heading"/>
    <w:basedOn w:val="HeadingBase"/>
    <w:rsid w:val="00AC7B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BC4"/>
    <w:rPr>
      <w:color w:val="0033CC"/>
      <w:u w:val="none"/>
    </w:rPr>
  </w:style>
  <w:style w:type="paragraph" w:customStyle="1" w:styleId="BodyTextRight">
    <w:name w:val="Body Text Right"/>
    <w:basedOn w:val="BodyText"/>
    <w:rsid w:val="00AC7B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B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B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B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B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B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BC4"/>
    <w:rPr>
      <w:sz w:val="32"/>
    </w:rPr>
  </w:style>
  <w:style w:type="paragraph" w:customStyle="1" w:styleId="HeadingProcedure">
    <w:name w:val="Heading Procedure"/>
    <w:basedOn w:val="HeadingBase"/>
    <w:next w:val="Normal"/>
    <w:rsid w:val="00AC7B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BC4"/>
    <w:pPr>
      <w:spacing w:before="60" w:after="60"/>
    </w:pPr>
  </w:style>
  <w:style w:type="paragraph" w:styleId="ListContinue">
    <w:name w:val="List Continue"/>
    <w:basedOn w:val="List"/>
    <w:rsid w:val="00AC7BC4"/>
    <w:pPr>
      <w:ind w:firstLine="0"/>
    </w:pPr>
  </w:style>
  <w:style w:type="paragraph" w:customStyle="1" w:styleId="ListNote">
    <w:name w:val="List Note"/>
    <w:basedOn w:val="List"/>
    <w:rsid w:val="00AC7B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B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B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BC4"/>
    <w:rPr>
      <w:rFonts w:ascii="Courier New" w:hAnsi="Courier New"/>
    </w:rPr>
  </w:style>
  <w:style w:type="paragraph" w:customStyle="1" w:styleId="NoteBullet">
    <w:name w:val="Note Bullet"/>
    <w:basedOn w:val="Note"/>
    <w:rsid w:val="00AC7B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B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B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B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B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7B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B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BC4"/>
    <w:rPr>
      <w:b/>
      <w:smallCaps/>
    </w:rPr>
  </w:style>
  <w:style w:type="paragraph" w:customStyle="1" w:styleId="TableListNumber">
    <w:name w:val="Table List Number"/>
    <w:basedOn w:val="ListNumber"/>
    <w:rsid w:val="00AC7B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B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BC4"/>
    <w:pPr>
      <w:numPr>
        <w:numId w:val="8"/>
      </w:numPr>
    </w:pPr>
  </w:style>
  <w:style w:type="paragraph" w:customStyle="1" w:styleId="ListAlpha2">
    <w:name w:val="List Alpha 2"/>
    <w:basedOn w:val="List2"/>
    <w:rsid w:val="00AC7BC4"/>
    <w:pPr>
      <w:numPr>
        <w:numId w:val="7"/>
      </w:numPr>
    </w:pPr>
  </w:style>
  <w:style w:type="paragraph" w:styleId="List2">
    <w:name w:val="List 2"/>
    <w:basedOn w:val="BodyText"/>
    <w:rsid w:val="00AC7B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B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B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B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B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BC4"/>
    <w:pPr>
      <w:numPr>
        <w:numId w:val="2"/>
      </w:numPr>
    </w:pPr>
  </w:style>
  <w:style w:type="paragraph" w:styleId="ListBullet5">
    <w:name w:val="List Bullet 5"/>
    <w:basedOn w:val="List5"/>
    <w:rsid w:val="00AC7BC4"/>
    <w:pPr>
      <w:numPr>
        <w:numId w:val="3"/>
      </w:numPr>
    </w:pPr>
  </w:style>
  <w:style w:type="paragraph" w:styleId="ListContinue2">
    <w:name w:val="List Continue 2"/>
    <w:basedOn w:val="List2"/>
    <w:rsid w:val="00AC7BC4"/>
    <w:pPr>
      <w:ind w:firstLine="0"/>
    </w:pPr>
  </w:style>
  <w:style w:type="paragraph" w:styleId="ListContinue3">
    <w:name w:val="List Continue 3"/>
    <w:basedOn w:val="List3"/>
    <w:rsid w:val="00AC7BC4"/>
    <w:pPr>
      <w:ind w:left="1021" w:firstLine="0"/>
    </w:pPr>
  </w:style>
  <w:style w:type="paragraph" w:styleId="ListContinue4">
    <w:name w:val="List Continue 4"/>
    <w:basedOn w:val="List4"/>
    <w:rsid w:val="00AC7BC4"/>
    <w:pPr>
      <w:ind w:firstLine="0"/>
    </w:pPr>
  </w:style>
  <w:style w:type="paragraph" w:styleId="ListContinue5">
    <w:name w:val="List Continue 5"/>
    <w:basedOn w:val="List5"/>
    <w:rsid w:val="00AC7BC4"/>
    <w:pPr>
      <w:ind w:firstLine="0"/>
    </w:pPr>
  </w:style>
  <w:style w:type="paragraph" w:styleId="ListNumber3">
    <w:name w:val="List Number 3"/>
    <w:basedOn w:val="List3"/>
    <w:rsid w:val="00AC7BC4"/>
    <w:pPr>
      <w:numPr>
        <w:numId w:val="4"/>
      </w:numPr>
    </w:pPr>
  </w:style>
  <w:style w:type="paragraph" w:styleId="ListNumber4">
    <w:name w:val="List Number 4"/>
    <w:basedOn w:val="List4"/>
    <w:rsid w:val="00AC7BC4"/>
    <w:pPr>
      <w:numPr>
        <w:numId w:val="5"/>
      </w:numPr>
    </w:pPr>
  </w:style>
  <w:style w:type="paragraph" w:styleId="ListNumber5">
    <w:name w:val="List Number 5"/>
    <w:basedOn w:val="List5"/>
    <w:rsid w:val="00AC7BC4"/>
    <w:pPr>
      <w:numPr>
        <w:numId w:val="6"/>
      </w:numPr>
    </w:pPr>
  </w:style>
  <w:style w:type="paragraph" w:styleId="BlockText">
    <w:name w:val="Block Text"/>
    <w:basedOn w:val="Normal"/>
    <w:rsid w:val="00AC7B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B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BC4"/>
    <w:rPr>
      <w:sz w:val="16"/>
      <w:vertAlign w:val="superscript"/>
    </w:rPr>
  </w:style>
  <w:style w:type="character" w:customStyle="1" w:styleId="Symbols">
    <w:name w:val="Symbols"/>
    <w:basedOn w:val="DefaultParagraphFont"/>
    <w:rsid w:val="00AC7BC4"/>
    <w:rPr>
      <w:rFonts w:ascii="Symbol" w:hAnsi="Symbol"/>
    </w:rPr>
  </w:style>
  <w:style w:type="character" w:customStyle="1" w:styleId="MenuOptions">
    <w:name w:val="Menu Options"/>
    <w:basedOn w:val="DefaultParagraphFont"/>
    <w:rsid w:val="00AC7B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BC4"/>
    <w:rPr>
      <w:b/>
    </w:rPr>
  </w:style>
  <w:style w:type="character" w:customStyle="1" w:styleId="Underlined">
    <w:name w:val="Underlined"/>
    <w:basedOn w:val="DefaultParagraphFont"/>
    <w:rsid w:val="00AC7BC4"/>
    <w:rPr>
      <w:u w:val="single"/>
    </w:rPr>
  </w:style>
  <w:style w:type="paragraph" w:customStyle="1" w:styleId="TableBodyTextRight">
    <w:name w:val="Table Body Text Right"/>
    <w:basedOn w:val="TableBodyText"/>
    <w:rsid w:val="00AC7B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BC4"/>
    <w:rPr>
      <w:sz w:val="18"/>
    </w:rPr>
  </w:style>
  <w:style w:type="paragraph" w:customStyle="1" w:styleId="BodySmallRight">
    <w:name w:val="Body Small Right"/>
    <w:basedOn w:val="BodyTextRight"/>
    <w:rsid w:val="00AC7BC4"/>
    <w:rPr>
      <w:sz w:val="18"/>
      <w:szCs w:val="18"/>
    </w:rPr>
  </w:style>
  <w:style w:type="paragraph" w:customStyle="1" w:styleId="MarginEdition">
    <w:name w:val="Margin Edition"/>
    <w:basedOn w:val="MarginNote"/>
    <w:rsid w:val="00AC7B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BC4"/>
    <w:rPr>
      <w:sz w:val="2"/>
      <w:szCs w:val="2"/>
    </w:rPr>
  </w:style>
  <w:style w:type="character" w:customStyle="1" w:styleId="Small">
    <w:name w:val="Small"/>
    <w:basedOn w:val="DefaultParagraphFont"/>
    <w:rsid w:val="00AC7BC4"/>
    <w:rPr>
      <w:sz w:val="16"/>
    </w:rPr>
  </w:style>
  <w:style w:type="paragraph" w:customStyle="1" w:styleId="WideTable">
    <w:name w:val="Wide Table"/>
    <w:basedOn w:val="Normal"/>
    <w:rsid w:val="00AC7B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BC4"/>
  </w:style>
  <w:style w:type="paragraph" w:styleId="Quote">
    <w:name w:val="Quote"/>
    <w:basedOn w:val="Heading1"/>
    <w:link w:val="QuoteChar"/>
    <w:qFormat/>
    <w:rsid w:val="00AC7B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B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BC4"/>
    <w:pPr>
      <w:pageBreakBefore/>
    </w:pPr>
  </w:style>
  <w:style w:type="paragraph" w:customStyle="1" w:styleId="Border">
    <w:name w:val="Border"/>
    <w:basedOn w:val="Normal"/>
    <w:qFormat/>
    <w:rsid w:val="00AC7B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B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B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B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B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B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B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B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B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BC4"/>
    <w:rPr>
      <w:u w:val="single"/>
    </w:rPr>
  </w:style>
  <w:style w:type="paragraph" w:styleId="BalloonText">
    <w:name w:val="Balloon Text"/>
    <w:basedOn w:val="Normal"/>
    <w:link w:val="BalloonTextChar"/>
    <w:rsid w:val="00AC7B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B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BC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B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B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BC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906</Words>
  <Characters>5999</Characters>
  <Application>Microsoft Office Word</Application>
  <DocSecurity>0</DocSecurity>
  <Lines>218</Lines>
  <Paragraphs>136</Paragraphs>
  <ScaleCrop>false</ScaleCrop>
  <Company>Author-it Software Corporation Ltd.</Company>
  <LinksUpToDate>false</LinksUpToDate>
  <CharactersWithSpaces>6829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DEFEO509D Perform purging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2013-01-25T16:35:00Z</dcterms:created>
  <dcterms:modified xsi:type="dcterms:W3CDTF">2013-01-25T16:35:00Z</dcterms:modified>
</cp:coreProperties>
</file>