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13C" w:rsidP="00A5413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DEFEO502D Conduct external explosive ordnance maintenance</w:t>
      </w:r>
      <w:r>
        <w:fldChar w:fldCharType="end"/>
      </w:r>
    </w:p>
    <w:p w:rsidR="00A5413C" w:rsidP="00A5413C">
      <w:pPr>
        <w:pStyle w:val="Version"/>
        <w:sectPr w:rsidSect="00871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1A74" w:rsidP="00871A74">
      <w:pPr>
        <w:pStyle w:val="SuperHeading"/>
      </w:pPr>
      <w:r w:rsidRPr="00871A74">
        <w:t>DEFEO502D Conduct external explosive ordnance maintenance</w:t>
      </w:r>
    </w:p>
    <w:p w:rsidR="00000000" w:rsidRPr="00871A74" w:rsidP="00871A74">
      <w:pPr>
        <w:pStyle w:val="Heading1"/>
      </w:pPr>
      <w:bookmarkStart w:id="1" w:name="O_518490"/>
      <w:bookmarkEnd w:id="1"/>
      <w:r w:rsidRPr="00871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 xml:space="preserve"> Comments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Layout adjusted.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t>First release.</w:t>
            </w:r>
          </w:p>
        </w:tc>
      </w:tr>
    </w:tbl>
    <w:p w:rsidR="00A5413C" w:rsidP="00871A74">
      <w:pPr>
        <w:pStyle w:val="BodyText"/>
      </w:pPr>
    </w:p>
    <w:p w:rsidR="00A5413C" w:rsidP="00871A74">
      <w:pPr>
        <w:pStyle w:val="BodyText"/>
      </w:pPr>
    </w:p>
    <w:p w:rsidR="00000000" w:rsidRPr="00871A74" w:rsidP="00871A74">
      <w:pPr>
        <w:pStyle w:val="Heading1"/>
      </w:pPr>
      <w:bookmarkStart w:id="2" w:name="O_518489"/>
      <w:bookmarkEnd w:id="2"/>
      <w:r w:rsidRPr="00871A74">
        <w:t>Unit Descriptor</w:t>
      </w:r>
    </w:p>
    <w:p w:rsidR="00000000" w:rsidRPr="00871A74" w:rsidP="00871A74">
      <w:pPr>
        <w:pStyle w:val="BodyText"/>
      </w:pPr>
      <w:r w:rsidRPr="00871A74">
        <w:t>This unit covers the competency required to conduct external maintenance on all types of explosive ordnance.</w:t>
      </w: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3" w:name="O_518488"/>
      <w:bookmarkEnd w:id="3"/>
      <w:r w:rsidRPr="00871A74">
        <w:t>Application of the Unit</w:t>
      </w:r>
    </w:p>
    <w:p w:rsidR="00000000" w:rsidRPr="00871A74" w:rsidP="00871A74">
      <w:pPr>
        <w:pStyle w:val="BodyText"/>
      </w:pPr>
      <w:r w:rsidRPr="00871A74">
        <w:t xml:space="preserve">This competency normally applies to the individual who is required to conduct external maintenance on all </w:t>
      </w:r>
      <w:r w:rsidRPr="00871A74">
        <w:t>types of explosive ordnance by the removal of rust and contaminants, cleaning, painting and stencilling standard markings.</w:t>
      </w:r>
    </w:p>
    <w:p w:rsidR="00000000" w:rsidRPr="00871A74" w:rsidP="00871A74">
      <w:pPr>
        <w:pStyle w:val="BodyText"/>
      </w:pPr>
      <w:r w:rsidRPr="00871A74">
        <w:t xml:space="preserve">Maintenance is carried out on the explosive ordnance while monitoring the environmental conditions and fully adhering to work health </w:t>
      </w:r>
      <w:r w:rsidRPr="00871A74">
        <w:t>and safety (WHS) requirements. The unit only applies to the maintenance of explosive ordnance that does not require the removal of any explosive component.</w:t>
      </w: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4" w:name="O_518487"/>
      <w:bookmarkEnd w:id="4"/>
      <w:r w:rsidRPr="00871A74">
        <w:t>Licensing/Regulatory Information</w:t>
      </w:r>
    </w:p>
    <w:p w:rsidR="00000000" w:rsidRPr="00871A74" w:rsidP="00871A74">
      <w:pPr>
        <w:pStyle w:val="BodyText"/>
      </w:pPr>
      <w:r w:rsidRPr="00871A74">
        <w:t>Not applicable.</w:t>
      </w: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5" w:name="O_518486"/>
      <w:bookmarkEnd w:id="5"/>
      <w:r w:rsidRPr="00871A74">
        <w:t>Pre-Requisites</w:t>
      </w:r>
    </w:p>
    <w:p w:rsidR="00000000" w:rsidRPr="00871A74" w:rsidP="00871A74">
      <w:pPr>
        <w:pStyle w:val="BodyText"/>
      </w:pPr>
      <w:r w:rsidRPr="00871A74">
        <w:t>No</w:t>
      </w:r>
      <w:r w:rsidRPr="00871A74">
        <w:t xml:space="preserve">t applicable. </w:t>
      </w: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6" w:name="O_518485"/>
      <w:bookmarkEnd w:id="6"/>
      <w:r w:rsidRPr="00871A74">
        <w:t>Employability Skills Information</w:t>
      </w:r>
    </w:p>
    <w:p w:rsidR="00000000" w:rsidRPr="00871A74" w:rsidP="00871A74">
      <w:pPr>
        <w:pStyle w:val="BodyText"/>
      </w:pPr>
      <w:r w:rsidRPr="00871A74">
        <w:t>This unit contains employability skills.</w:t>
      </w: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7" w:name="O_518484"/>
      <w:bookmarkEnd w:id="7"/>
      <w:r w:rsidRPr="00871A7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t xml:space="preserve">Performance Criteria </w:t>
            </w:r>
            <w:r w:rsidRPr="00871A74">
              <w:t xml:space="preserve">describe the required performance needed to demonstrate achievement of the element. Where </w:t>
            </w:r>
            <w:r w:rsidRPr="00871A74">
              <w:rPr>
                <w:rStyle w:val="BoldandItalics"/>
              </w:rPr>
              <w:t>bold italicised</w:t>
            </w:r>
            <w:r w:rsidRPr="00871A7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71A74" w:rsidP="00871A74">
      <w:pPr>
        <w:pStyle w:val="BodyText"/>
      </w:pP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8" w:name="O_518483"/>
      <w:bookmarkEnd w:id="8"/>
      <w:r w:rsidRPr="00871A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>PERFORMANCE CRITERIA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List"/>
              <w:rPr>
                <w:lang w:val="en-NZ"/>
              </w:rPr>
            </w:pPr>
            <w:r w:rsidRPr="00871A74">
              <w:t>1.</w:t>
            </w:r>
            <w:r w:rsidRPr="00871A74">
              <w:tab/>
            </w:r>
            <w:r w:rsidRPr="00871A74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"/>
            </w:pPr>
            <w:r w:rsidRPr="00871A74">
              <w:t>1.1</w:t>
            </w:r>
            <w:r w:rsidRPr="00871A74">
              <w:tab/>
              <w:t xml:space="preserve">Requirement for </w:t>
            </w:r>
            <w:r w:rsidRPr="00871A74">
              <w:rPr>
                <w:rStyle w:val="BoldandItalics"/>
              </w:rPr>
              <w:t>external maintenance</w:t>
            </w:r>
            <w:r w:rsidRPr="00871A74">
              <w:t xml:space="preserve"> is identified from work requests/instructions and is confirmed</w:t>
            </w:r>
          </w:p>
          <w:p w:rsidR="00000000" w:rsidRPr="00871A74" w:rsidP="00871A74">
            <w:pPr>
              <w:pStyle w:val="List"/>
            </w:pPr>
            <w:r w:rsidRPr="00871A74">
              <w:t>1.2</w:t>
            </w:r>
            <w:r w:rsidRPr="00871A74">
              <w:tab/>
              <w:t>WHS requirements, including those contain</w:t>
            </w:r>
            <w:r w:rsidRPr="00871A74">
              <w:t xml:space="preserve">ed in </w:t>
            </w:r>
            <w:r w:rsidRPr="00871A74">
              <w:rPr>
                <w:rStyle w:val="BoldandItalics"/>
              </w:rPr>
              <w:t>organisational</w:t>
            </w:r>
            <w:r w:rsidRPr="00871A74">
              <w:t xml:space="preserve"> procedures, are applied throughout the operation</w:t>
            </w:r>
          </w:p>
          <w:p w:rsidR="00000000" w:rsidRPr="00871A74" w:rsidP="00871A74">
            <w:pPr>
              <w:pStyle w:val="List"/>
            </w:pPr>
            <w:r w:rsidRPr="00871A74">
              <w:t>1.3</w:t>
            </w:r>
            <w:r w:rsidRPr="00871A74">
              <w:tab/>
            </w:r>
            <w:r w:rsidRPr="00871A74">
              <w:rPr>
                <w:rStyle w:val="BoldandItalics"/>
              </w:rPr>
              <w:t>Technical references</w:t>
            </w:r>
            <w:r w:rsidRPr="00871A74">
              <w:t xml:space="preserve">, tools, equipment and </w:t>
            </w:r>
            <w:r w:rsidRPr="00871A74">
              <w:rPr>
                <w:rStyle w:val="BoldandItalics"/>
              </w:rPr>
              <w:t>consumables</w:t>
            </w:r>
            <w:r w:rsidRPr="00871A74">
              <w:t xml:space="preserve"> required for the maintenance are identified, acquired and prepared in accordance with organisation procedures</w:t>
            </w:r>
          </w:p>
          <w:p w:rsidR="00000000" w:rsidRPr="00871A74" w:rsidP="00871A74">
            <w:pPr>
              <w:pStyle w:val="List"/>
            </w:pPr>
            <w:r w:rsidRPr="00871A74">
              <w:t>1.4</w:t>
            </w:r>
            <w:r w:rsidRPr="00871A74">
              <w:tab/>
              <w:t>The explosive</w:t>
            </w:r>
            <w:r w:rsidRPr="00871A74">
              <w:t xml:space="preserve"> ordnance is acquired, identified and accounted for, moved or pre-positioned in preparation for maintenance</w:t>
            </w:r>
          </w:p>
          <w:p w:rsidR="00000000" w:rsidP="00871A74">
            <w:pPr>
              <w:pStyle w:val="List"/>
              <w:rPr>
                <w:lang w:val="en-NZ"/>
              </w:rPr>
            </w:pPr>
            <w:r w:rsidRPr="00871A74">
              <w:t>1.5</w:t>
            </w:r>
            <w:r w:rsidRPr="00871A74">
              <w:tab/>
            </w:r>
            <w:r w:rsidRPr="00871A74">
              <w:rPr>
                <w:rStyle w:val="BoldandItalics"/>
              </w:rPr>
              <w:t>Net explosive quantities</w:t>
            </w:r>
            <w:r w:rsidRPr="00871A74">
              <w:t xml:space="preserve"> and </w:t>
            </w:r>
            <w:r w:rsidRPr="00871A74">
              <w:rPr>
                <w:rStyle w:val="BoldandItalics"/>
              </w:rPr>
              <w:t>compatibility</w:t>
            </w:r>
            <w:r w:rsidRPr="00871A74">
              <w:t xml:space="preserve"> are identified, calculated and assessed and applied throughout the operation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List"/>
              <w:rPr>
                <w:lang w:val="en-NZ"/>
              </w:rPr>
            </w:pPr>
            <w:r w:rsidRPr="00871A74">
              <w:t>2.</w:t>
            </w:r>
            <w:r w:rsidRPr="00871A74">
              <w:tab/>
            </w:r>
            <w:r w:rsidRPr="00871A74">
              <w:rPr>
                <w:rStyle w:val="SpecialBold"/>
              </w:rPr>
              <w:t>Maintain explosive ordnance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"/>
            </w:pPr>
            <w:r w:rsidRPr="00871A74">
              <w:t>2.1</w:t>
            </w:r>
            <w:r w:rsidRPr="00871A74">
              <w:tab/>
              <w:t>Explosive ordnance is maintained in accordance with organisation policy and procedures, and technical specifications</w:t>
            </w:r>
          </w:p>
          <w:p w:rsidR="00000000" w:rsidP="00871A74">
            <w:pPr>
              <w:pStyle w:val="List"/>
              <w:rPr>
                <w:lang w:val="en-NZ"/>
              </w:rPr>
            </w:pPr>
            <w:r w:rsidRPr="00871A74">
              <w:t>2.2</w:t>
            </w:r>
            <w:r w:rsidRPr="00871A74">
              <w:tab/>
            </w:r>
            <w:r w:rsidRPr="00871A74">
              <w:rPr>
                <w:rStyle w:val="BoldandItalics"/>
              </w:rPr>
              <w:t>Environmental conditions</w:t>
            </w:r>
            <w:r w:rsidRPr="00871A74">
              <w:t xml:space="preserve"> are monitored and, where appropriate, maintained in accordance with organisation policy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List"/>
              <w:rPr>
                <w:lang w:val="en-NZ"/>
              </w:rPr>
            </w:pPr>
            <w:r w:rsidRPr="00871A74">
              <w:t>3.</w:t>
            </w:r>
            <w:r w:rsidRPr="00871A74">
              <w:tab/>
            </w:r>
            <w:r w:rsidRPr="00871A74">
              <w:rPr>
                <w:rStyle w:val="SpecialBold"/>
              </w:rPr>
              <w:t>Carry out post maintenance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"/>
            </w:pPr>
            <w:r w:rsidRPr="00871A74">
              <w:t>3.1</w:t>
            </w:r>
            <w:r w:rsidRPr="00871A74">
              <w:tab/>
              <w:t xml:space="preserve">Explosive ordnance is </w:t>
            </w:r>
            <w:r w:rsidRPr="00871A74">
              <w:rPr>
                <w:rStyle w:val="BoldandItalics"/>
              </w:rPr>
              <w:t xml:space="preserve">processed </w:t>
            </w:r>
            <w:r w:rsidRPr="00871A74">
              <w:t>in accordance with organisation procedures</w:t>
            </w:r>
          </w:p>
          <w:p w:rsidR="00000000" w:rsidRPr="00871A74" w:rsidP="00871A74">
            <w:pPr>
              <w:pStyle w:val="List"/>
            </w:pPr>
            <w:r w:rsidRPr="00871A74">
              <w:t>3.2</w:t>
            </w:r>
            <w:r w:rsidRPr="00871A74">
              <w:tab/>
              <w:t>Housekeeping procedures are conducted in a</w:t>
            </w:r>
            <w:r w:rsidRPr="00871A74">
              <w:t>ccordance with workshop requirements</w:t>
            </w:r>
          </w:p>
          <w:p w:rsidR="00000000" w:rsidRPr="00871A74" w:rsidP="00871A74">
            <w:pPr>
              <w:pStyle w:val="List"/>
            </w:pPr>
            <w:r w:rsidRPr="00871A74">
              <w:t>3.3</w:t>
            </w:r>
            <w:r w:rsidRPr="00871A74">
              <w:tab/>
            </w:r>
            <w:r w:rsidRPr="00871A74">
              <w:rPr>
                <w:rStyle w:val="BoldandItalics"/>
              </w:rPr>
              <w:t>Documentation and records</w:t>
            </w:r>
            <w:r w:rsidRPr="00871A74">
              <w:t xml:space="preserve"> are maintained in accordance with statutory, organisation and workshop requirements</w:t>
            </w:r>
          </w:p>
        </w:tc>
      </w:tr>
    </w:tbl>
    <w:p w:rsidR="00000000" w:rsidRPr="00871A74" w:rsidP="00871A74">
      <w:pPr>
        <w:pStyle w:val="BodyText"/>
      </w:pP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9" w:name="O_518482"/>
      <w:bookmarkEnd w:id="9"/>
      <w:r w:rsidRPr="00871A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This describes the essential skills and knowledge and th</w:t>
            </w:r>
            <w:r w:rsidRPr="00871A74">
              <w:t>eir level, required for this unit.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>Required Skills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apply compatibility constraints</w:t>
            </w:r>
          </w:p>
          <w:p w:rsidR="00000000" w:rsidRPr="00871A74" w:rsidP="00871A74">
            <w:pPr>
              <w:pStyle w:val="ListBullet"/>
            </w:pPr>
            <w:r w:rsidRPr="00871A74">
              <w:t>apply safety policies and structures</w:t>
            </w:r>
          </w:p>
          <w:p w:rsidR="00000000" w:rsidRPr="00871A74" w:rsidP="00871A74">
            <w:pPr>
              <w:pStyle w:val="ListBullet"/>
            </w:pPr>
            <w:r w:rsidRPr="00871A74">
              <w:t>apply WHS requirements</w:t>
            </w:r>
          </w:p>
          <w:p w:rsidR="00000000" w:rsidRPr="00871A74" w:rsidP="00871A74">
            <w:pPr>
              <w:pStyle w:val="ListBullet"/>
            </w:pPr>
            <w:r w:rsidRPr="00871A74">
              <w:t>calculate net explosive quantity</w:t>
            </w:r>
          </w:p>
          <w:p w:rsidR="00000000" w:rsidRPr="00871A74" w:rsidP="00871A74">
            <w:pPr>
              <w:pStyle w:val="ListBullet"/>
            </w:pPr>
            <w:r w:rsidRPr="00871A74">
              <w:t>communicate orally and in writing</w:t>
            </w:r>
          </w:p>
          <w:p w:rsidR="00000000" w:rsidRPr="00871A74" w:rsidP="00871A74">
            <w:pPr>
              <w:pStyle w:val="ListBullet"/>
            </w:pPr>
            <w:r w:rsidRPr="00871A74">
              <w:t>maintain documentation</w:t>
            </w:r>
          </w:p>
          <w:p w:rsidR="00000000" w:rsidRPr="00871A74" w:rsidP="00871A74">
            <w:pPr>
              <w:pStyle w:val="ListBullet"/>
            </w:pPr>
            <w:r w:rsidRPr="00871A74">
              <w:t>monitor environmental conditions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read, access, interpret and apply technical instructions and drawings related to explosive ordnance maintenance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>Required Knowledge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assessment of compatibility</w:t>
            </w:r>
          </w:p>
          <w:p w:rsidR="00000000" w:rsidRPr="00871A74" w:rsidP="00871A74">
            <w:pPr>
              <w:pStyle w:val="ListBullet"/>
            </w:pPr>
            <w:r w:rsidRPr="00871A74">
              <w:t>calculation of net explosive quantity</w:t>
            </w:r>
          </w:p>
          <w:p w:rsidR="00000000" w:rsidRPr="00871A74" w:rsidP="00871A74">
            <w:pPr>
              <w:pStyle w:val="ListBullet"/>
            </w:pPr>
            <w:r w:rsidRPr="00871A74">
              <w:t>characteristics and limitations of explosive ordnance to be maintained</w:t>
            </w:r>
          </w:p>
          <w:p w:rsidR="00000000" w:rsidRPr="00871A74" w:rsidP="00871A74">
            <w:pPr>
              <w:pStyle w:val="ListBullet"/>
            </w:pPr>
            <w:r w:rsidRPr="00871A74">
              <w:t>environmental constraints</w:t>
            </w:r>
          </w:p>
          <w:p w:rsidR="00000000" w:rsidRPr="00871A74" w:rsidP="00871A74">
            <w:pPr>
              <w:pStyle w:val="ListBullet"/>
            </w:pPr>
            <w:r w:rsidRPr="00871A74">
              <w:t>maintenance procedures</w:t>
            </w:r>
          </w:p>
          <w:p w:rsidR="00000000" w:rsidRPr="00871A74" w:rsidP="00871A74">
            <w:pPr>
              <w:pStyle w:val="ListBullet"/>
            </w:pPr>
            <w:r w:rsidRPr="00871A74">
              <w:t xml:space="preserve">organisational documentation requirements </w:t>
            </w:r>
          </w:p>
          <w:p w:rsidR="00000000" w:rsidRPr="00871A74" w:rsidP="00871A74">
            <w:pPr>
              <w:pStyle w:val="ListBullet"/>
            </w:pPr>
            <w:r w:rsidRPr="00871A74">
              <w:t>organisational WHS requirements</w:t>
            </w:r>
          </w:p>
          <w:p w:rsidR="00000000" w:rsidRPr="00871A74" w:rsidP="00871A74">
            <w:pPr>
              <w:pStyle w:val="ListBullet"/>
            </w:pPr>
            <w:r w:rsidRPr="00871A74">
              <w:t>organisational safety policies and structures</w:t>
            </w:r>
          </w:p>
        </w:tc>
      </w:tr>
    </w:tbl>
    <w:p w:rsidR="00000000" w:rsidRPr="00871A74" w:rsidP="00871A74">
      <w:pPr>
        <w:pStyle w:val="BodyText"/>
      </w:pP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10" w:name="O_518481"/>
      <w:bookmarkEnd w:id="10"/>
      <w:r w:rsidRPr="00871A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t>Assessment must confirm the ability to comply with:</w:t>
            </w:r>
          </w:p>
          <w:p w:rsidR="00000000" w:rsidRPr="00871A74" w:rsidP="00871A74">
            <w:pPr>
              <w:pStyle w:val="ListBullet"/>
            </w:pPr>
            <w:r w:rsidRPr="00871A74">
              <w:t>organisational safety requirements</w:t>
            </w:r>
          </w:p>
          <w:p w:rsidR="00000000" w:rsidRPr="00871A74" w:rsidP="00871A74">
            <w:pPr>
              <w:pStyle w:val="ListBullet"/>
            </w:pPr>
            <w:r w:rsidRPr="00871A74">
              <w:t>appropriate legislative and regulatory requirements.</w:t>
            </w:r>
          </w:p>
          <w:p w:rsidR="00000000" w:rsidRPr="00871A74" w:rsidP="00871A74">
            <w:pPr>
              <w:pStyle w:val="BodyText"/>
            </w:pPr>
            <w:r w:rsidRPr="00871A74">
              <w:t>Assessment must also confirm the ability to work safely within an explosive ordnance environment and to:</w:t>
            </w:r>
          </w:p>
          <w:p w:rsidR="00000000" w:rsidRPr="00871A74" w:rsidP="00871A74">
            <w:pPr>
              <w:pStyle w:val="ListBullet"/>
            </w:pPr>
            <w:r w:rsidRPr="00871A74">
              <w:t>calculate and apply net explosive quantity</w:t>
            </w:r>
          </w:p>
          <w:p w:rsidR="00000000" w:rsidRPr="00871A74" w:rsidP="00871A74">
            <w:pPr>
              <w:pStyle w:val="ListBullet"/>
            </w:pPr>
            <w:r w:rsidRPr="00871A74">
              <w:t>assess and apply compatibility</w:t>
            </w:r>
          </w:p>
          <w:p w:rsidR="00000000" w:rsidRPr="00871A74" w:rsidP="00871A74">
            <w:pPr>
              <w:pStyle w:val="ListBullet"/>
            </w:pPr>
            <w:r w:rsidRPr="00871A74">
              <w:t>monitor and maintain environmental conditions</w:t>
            </w:r>
          </w:p>
          <w:p w:rsidR="00000000" w:rsidRPr="00871A74" w:rsidP="00871A74">
            <w:pPr>
              <w:pStyle w:val="ListBullet"/>
            </w:pPr>
            <w:r w:rsidRPr="00871A74">
              <w:t>process explosive ordnance</w:t>
            </w:r>
          </w:p>
          <w:p w:rsidR="00000000" w:rsidRPr="00871A74" w:rsidP="00871A74">
            <w:pPr>
              <w:pStyle w:val="ListBullet"/>
            </w:pPr>
            <w:r w:rsidRPr="00871A74">
              <w:t>mai</w:t>
            </w:r>
            <w:r w:rsidRPr="00871A74">
              <w:t>ntain documentation</w:t>
            </w:r>
          </w:p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Consistency in performance</w:t>
            </w:r>
          </w:p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>Competency should be demonstrated in a range of actual or simulated explosive ordnance contexts.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Context of assessment</w:t>
            </w:r>
          </w:p>
          <w:p w:rsidR="00000000" w:rsidRPr="00871A74" w:rsidP="00871A74">
            <w:pPr>
              <w:pStyle w:val="BodyText"/>
            </w:pPr>
            <w:r w:rsidRPr="00871A74">
              <w:t>Competency should be assessed in the wor</w:t>
            </w:r>
            <w:r w:rsidRPr="00871A74">
              <w:t>kplace or in a simulated work environment, in accordance with all relevant legislation and organisation requirements.</w:t>
            </w:r>
          </w:p>
          <w:p w:rsidR="00000000" w:rsidRPr="00871A74" w:rsidP="00871A74">
            <w:pPr>
              <w:pStyle w:val="BodyText"/>
            </w:pPr>
            <w:r w:rsidRPr="00871A74">
              <w:rPr>
                <w:rStyle w:val="SpecialBold"/>
              </w:rPr>
              <w:t>Specific resources for assessment</w:t>
            </w:r>
          </w:p>
          <w:p w:rsidR="00000000" w:rsidRPr="00871A74" w:rsidP="00871A74">
            <w:pPr>
              <w:pStyle w:val="BodyText"/>
            </w:pPr>
            <w:r w:rsidRPr="00871A74">
              <w:t>Access is required to: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facilities and resources used in the storage, distribution or maintenance of exp</w:t>
            </w:r>
            <w:r w:rsidRPr="00871A74">
              <w:t>losive ordnance, including a licensed explosive site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SpecialBold"/>
              </w:rPr>
              <w:t>Method of assessment</w:t>
            </w:r>
            <w:r w:rsidRPr="00871A74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BodyText"/>
            </w:pPr>
            <w:r w:rsidRPr="00871A74">
              <w:t>This unit may be assessed with the following unit:</w:t>
            </w:r>
          </w:p>
          <w:p w:rsidR="00000000" w:rsidRPr="00871A74" w:rsidP="00871A74">
            <w:pPr>
              <w:pStyle w:val="ListBullet"/>
            </w:pPr>
            <w:r w:rsidRPr="00871A74">
              <w:t>DEFEO101D Work safely with explosive ordnance.</w:t>
            </w:r>
          </w:p>
          <w:p w:rsidR="00000000" w:rsidRPr="00871A74" w:rsidP="00871A74">
            <w:pPr>
              <w:pStyle w:val="BodyText"/>
            </w:pPr>
            <w:r w:rsidRPr="00871A74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871A74" w:rsidP="00871A74">
            <w:pPr>
              <w:pStyle w:val="BodyText"/>
            </w:pPr>
            <w:r w:rsidRPr="00871A74">
              <w:t>Assessment is complet</w:t>
            </w:r>
            <w:r w:rsidRPr="00871A74">
              <w:t>ed using appropriately qualified assessors who select the most appropriate method of assessment.</w:t>
            </w:r>
          </w:p>
          <w:p w:rsidR="00000000" w:rsidRPr="00871A74" w:rsidP="00871A74">
            <w:pPr>
              <w:pStyle w:val="BodyText"/>
            </w:pPr>
            <w:r w:rsidRPr="00871A74">
              <w:t>Assessment may occur in an operational environment or in an industry-approved simulated work environment. Forms of assessment that are typically used include:</w:t>
            </w:r>
          </w:p>
          <w:p w:rsidR="00000000" w:rsidRPr="00871A74" w:rsidP="00871A74">
            <w:pPr>
              <w:pStyle w:val="ListBullet"/>
            </w:pPr>
            <w:r w:rsidRPr="00871A74">
              <w:t>direct observation</w:t>
            </w:r>
          </w:p>
          <w:p w:rsidR="00000000" w:rsidRPr="00871A74" w:rsidP="00871A74">
            <w:pPr>
              <w:pStyle w:val="ListBullet"/>
            </w:pPr>
            <w:r w:rsidRPr="00871A74">
              <w:t>interviewing the candidate</w:t>
            </w:r>
          </w:p>
          <w:p w:rsidR="00000000" w:rsidRPr="00871A74" w:rsidP="00871A74">
            <w:pPr>
              <w:pStyle w:val="ListBullet"/>
            </w:pPr>
            <w:r w:rsidRPr="00871A74">
              <w:t>journals and workplace documentation</w:t>
            </w:r>
          </w:p>
          <w:p w:rsidR="00000000" w:rsidRPr="00871A74" w:rsidP="00871A74">
            <w:pPr>
              <w:pStyle w:val="ListBullet"/>
            </w:pPr>
            <w:r w:rsidRPr="00871A74">
              <w:t>third party reports from supervisors</w:t>
            </w:r>
          </w:p>
          <w:p w:rsidR="00000000" w:rsidRPr="00871A74" w:rsidP="00871A74">
            <w:pPr>
              <w:pStyle w:val="ListBullet"/>
            </w:pPr>
            <w:r w:rsidRPr="00871A74">
              <w:t>written or oral questions</w:t>
            </w:r>
          </w:p>
        </w:tc>
      </w:tr>
    </w:tbl>
    <w:p w:rsidR="00000000" w:rsidRPr="00871A74" w:rsidP="00871A74">
      <w:pPr>
        <w:pStyle w:val="BodyText"/>
      </w:pP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11" w:name="O_518480"/>
      <w:bookmarkEnd w:id="11"/>
      <w:r w:rsidRPr="00871A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t xml:space="preserve">The Range Statement relates to the Unit of Competency as a whole. It allows for different work environments and situations that may affect performance. </w:t>
            </w:r>
            <w:r w:rsidRPr="00871A74">
              <w:rPr>
                <w:rStyle w:val="BoldandItalics"/>
              </w:rPr>
              <w:t>Bold italicised</w:t>
            </w:r>
            <w:r w:rsidRPr="00871A74">
              <w:t xml:space="preserve"> wording in the Performance Criteria is detailed below.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>Explosive ordnance external mai</w:t>
            </w:r>
            <w:r w:rsidRPr="00871A74">
              <w:rPr>
                <w:rStyle w:val="BoldandItalics"/>
              </w:rPr>
              <w:t>ntenance</w:t>
            </w:r>
            <w:r w:rsidRPr="00871A7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Cleaning</w:t>
            </w:r>
          </w:p>
          <w:p w:rsidR="00000000" w:rsidRPr="00871A74" w:rsidP="00871A74">
            <w:pPr>
              <w:pStyle w:val="ListBullet"/>
            </w:pPr>
            <w:r w:rsidRPr="00871A74">
              <w:t>Painting</w:t>
            </w:r>
          </w:p>
          <w:p w:rsidR="00000000" w:rsidRPr="00871A74" w:rsidP="00871A74">
            <w:pPr>
              <w:pStyle w:val="ListBullet"/>
            </w:pPr>
            <w:r w:rsidRPr="00871A74">
              <w:t>Removal of rust and contamination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Stencilling standard markings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 xml:space="preserve">Organisation </w:t>
            </w:r>
            <w:r w:rsidRPr="00871A7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Defence organisation</w:t>
            </w:r>
          </w:p>
          <w:p w:rsidR="00000000" w:rsidRPr="00871A74" w:rsidP="00871A74">
            <w:pPr>
              <w:pStyle w:val="ListBullet"/>
            </w:pPr>
            <w:r w:rsidRPr="00871A74">
              <w:t>Enterprises that work with explosive ordnance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Other government departments or instrumentalities that work with explosive ordnance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>Technical references</w:t>
            </w:r>
            <w:r w:rsidRPr="00871A7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Technical drawings</w:t>
            </w:r>
          </w:p>
          <w:p w:rsidR="00000000" w:rsidRPr="00871A74" w:rsidP="00871A74">
            <w:pPr>
              <w:pStyle w:val="ListBullet"/>
            </w:pPr>
            <w:r w:rsidRPr="00871A74">
              <w:t>Technical reference pamphlets</w:t>
            </w:r>
          </w:p>
          <w:p w:rsidR="00000000" w:rsidRPr="00871A74" w:rsidP="00871A74">
            <w:pPr>
              <w:pStyle w:val="ListBullet"/>
            </w:pPr>
            <w:r w:rsidRPr="00871A74">
              <w:t>Orders and instructions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Other publications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 xml:space="preserve">Consumables </w:t>
            </w:r>
            <w:r w:rsidRPr="00871A7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Cleaning material</w:t>
            </w:r>
            <w:r w:rsidRPr="00871A74">
              <w:t>s</w:t>
            </w:r>
          </w:p>
          <w:p w:rsidR="00000000" w:rsidRPr="00871A74" w:rsidP="00871A74">
            <w:pPr>
              <w:pStyle w:val="ListBullet"/>
            </w:pPr>
            <w:r w:rsidRPr="00871A74">
              <w:t>Packaging materials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Paint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>Net explosive quantities</w:t>
            </w:r>
            <w:r w:rsidRPr="00871A74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Explosive capacity calculated in a wide range of activities related to the storage, distribution and maintenance of explosive ordnance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 xml:space="preserve">Compatibility </w:t>
            </w:r>
            <w:r w:rsidRPr="00871A74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Assessed in a wide range of activities related to the storage, distribution and maintenance of explosive ordnance and other hazardous materials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>Environmental conditions</w:t>
            </w:r>
            <w:r w:rsidRPr="00871A7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>Heat</w:t>
            </w:r>
          </w:p>
          <w:p w:rsidR="00000000" w:rsidRPr="00871A74" w:rsidP="00871A74">
            <w:pPr>
              <w:pStyle w:val="ListBullet"/>
            </w:pPr>
            <w:r w:rsidRPr="00871A74">
              <w:t>Humidity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Pressure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 xml:space="preserve">Processing </w:t>
            </w:r>
            <w:r w:rsidRPr="00871A7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 xml:space="preserve">Passing for disposal </w:t>
            </w:r>
          </w:p>
          <w:p w:rsidR="00000000" w:rsidRPr="00871A74" w:rsidP="00871A74">
            <w:pPr>
              <w:pStyle w:val="ListBullet"/>
            </w:pPr>
            <w:r w:rsidRPr="00871A74">
              <w:t>P</w:t>
            </w:r>
            <w:r w:rsidRPr="00871A74">
              <w:t>reparing for issue</w:t>
            </w:r>
          </w:p>
          <w:p w:rsidR="00000000" w:rsidP="00871A74">
            <w:pPr>
              <w:pStyle w:val="ListBullet"/>
              <w:rPr>
                <w:lang w:val="en-NZ"/>
              </w:rPr>
            </w:pPr>
            <w:r w:rsidRPr="00871A74">
              <w:t>Returning to storage</w:t>
            </w:r>
          </w:p>
        </w:tc>
      </w:tr>
      <w:tr w:rsidTr="00A54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A74">
            <w:pPr>
              <w:pStyle w:val="BodyText"/>
              <w:rPr>
                <w:lang w:val="en-NZ"/>
              </w:rPr>
            </w:pPr>
            <w:r w:rsidRPr="00871A74">
              <w:rPr>
                <w:rStyle w:val="BoldandItalics"/>
              </w:rPr>
              <w:t>Documentation and records</w:t>
            </w:r>
            <w:r w:rsidRPr="00871A7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A74" w:rsidP="00871A74">
            <w:pPr>
              <w:pStyle w:val="ListBullet"/>
            </w:pPr>
            <w:r w:rsidRPr="00871A74">
              <w:t xml:space="preserve">Receipt and issue records </w:t>
            </w:r>
          </w:p>
          <w:p w:rsidR="00000000" w:rsidRPr="00871A74" w:rsidP="00871A74">
            <w:pPr>
              <w:pStyle w:val="ListBullet"/>
            </w:pPr>
            <w:r w:rsidRPr="00871A74">
              <w:t>Timesheets</w:t>
            </w:r>
          </w:p>
          <w:p w:rsidR="00000000" w:rsidRPr="00871A74" w:rsidP="00871A74">
            <w:pPr>
              <w:pStyle w:val="ListBullet"/>
            </w:pPr>
            <w:r w:rsidRPr="00871A74">
              <w:t>Work records</w:t>
            </w:r>
          </w:p>
        </w:tc>
      </w:tr>
    </w:tbl>
    <w:p w:rsidR="00000000" w:rsidRPr="00871A74" w:rsidP="00871A74">
      <w:pPr>
        <w:pStyle w:val="BodyText"/>
      </w:pPr>
    </w:p>
    <w:p w:rsidR="00000000" w:rsidRPr="00871A74" w:rsidP="00871A74">
      <w:pPr>
        <w:pStyle w:val="AllowPageBreak"/>
      </w:pPr>
    </w:p>
    <w:p w:rsidR="00000000" w:rsidRPr="00871A74" w:rsidP="00871A74">
      <w:pPr>
        <w:pStyle w:val="Heading1"/>
      </w:pPr>
      <w:bookmarkStart w:id="12" w:name="O_518479"/>
      <w:bookmarkEnd w:id="12"/>
      <w:r w:rsidRPr="00871A74">
        <w:t>Unit Sector(s)</w:t>
      </w:r>
    </w:p>
    <w:p w:rsidR="00000000" w:rsidRPr="00871A74" w:rsidP="00871A74">
      <w:pPr>
        <w:pStyle w:val="BodyText"/>
      </w:pPr>
      <w:r w:rsidRPr="00871A74">
        <w:t>Not applicable.</w:t>
      </w:r>
    </w:p>
    <w:p w:rsidR="00000000" w:rsidRPr="00871A74" w:rsidP="00871A74"/>
    <w:sectPr w:rsidSect="00871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 w:rsidRPr="00A5413C" w:rsidP="00A5413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3C" w:rsidP="00871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413C" w:rsidP="00871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413C" w:rsidP="00871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 w:rsidRPr="00A5413C" w:rsidP="00A541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3C" w:rsidRPr="002D2AF8" w:rsidP="00871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DEFEO502D Conduct external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5413C" w:rsidP="00871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24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2D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A74"/>
  </w:style>
  <w:style w:type="character" w:customStyle="1" w:styleId="Heading1Char">
    <w:name w:val="Heading 1 Char"/>
    <w:basedOn w:val="DefaultParagraphFont"/>
    <w:link w:val="Heading1"/>
    <w:rsid w:val="00871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A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A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1A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A74"/>
    <w:rPr>
      <w:b/>
      <w:spacing w:val="0"/>
    </w:rPr>
  </w:style>
  <w:style w:type="paragraph" w:customStyle="1" w:styleId="SuperHeading">
    <w:name w:val="SuperHeading"/>
    <w:basedOn w:val="Normal"/>
    <w:rsid w:val="00871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71A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71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A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1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A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A74"/>
    <w:rPr>
      <w:i/>
    </w:rPr>
  </w:style>
  <w:style w:type="paragraph" w:styleId="Caption">
    <w:name w:val="caption"/>
    <w:basedOn w:val="BodyText"/>
    <w:next w:val="Normal"/>
    <w:qFormat/>
    <w:rsid w:val="00871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A74"/>
  </w:style>
  <w:style w:type="paragraph" w:styleId="TableofFigures">
    <w:name w:val="table of figures"/>
    <w:basedOn w:val="Normal"/>
    <w:next w:val="Normal"/>
    <w:semiHidden/>
    <w:rsid w:val="00871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A74"/>
    <w:pPr>
      <w:numPr>
        <w:numId w:val="10"/>
      </w:numPr>
    </w:pPr>
  </w:style>
  <w:style w:type="character" w:customStyle="1" w:styleId="WingdingSymbols">
    <w:name w:val="Wingding Symbols"/>
    <w:rsid w:val="00871A74"/>
    <w:rPr>
      <w:rFonts w:ascii="Wingdings" w:hAnsi="Wingdings"/>
    </w:rPr>
  </w:style>
  <w:style w:type="paragraph" w:customStyle="1" w:styleId="TableHeading">
    <w:name w:val="Table Heading"/>
    <w:basedOn w:val="HeadingBase"/>
    <w:rsid w:val="00871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A74"/>
    <w:rPr>
      <w:color w:val="0033CC"/>
      <w:u w:val="none"/>
    </w:rPr>
  </w:style>
  <w:style w:type="paragraph" w:customStyle="1" w:styleId="BodyTextRight">
    <w:name w:val="Body Text Right"/>
    <w:basedOn w:val="BodyText"/>
    <w:rsid w:val="00871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A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A74"/>
    <w:rPr>
      <w:sz w:val="32"/>
    </w:rPr>
  </w:style>
  <w:style w:type="paragraph" w:customStyle="1" w:styleId="HeadingProcedure">
    <w:name w:val="Heading Procedure"/>
    <w:basedOn w:val="HeadingBase"/>
    <w:next w:val="Normal"/>
    <w:rsid w:val="00871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A74"/>
    <w:pPr>
      <w:spacing w:before="60" w:after="60"/>
    </w:pPr>
  </w:style>
  <w:style w:type="paragraph" w:styleId="ListContinue">
    <w:name w:val="List Continue"/>
    <w:basedOn w:val="List"/>
    <w:rsid w:val="00871A74"/>
    <w:pPr>
      <w:ind w:firstLine="0"/>
    </w:pPr>
  </w:style>
  <w:style w:type="paragraph" w:customStyle="1" w:styleId="ListNote">
    <w:name w:val="List Note"/>
    <w:basedOn w:val="List"/>
    <w:rsid w:val="00871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A74"/>
    <w:rPr>
      <w:rFonts w:ascii="Courier New" w:hAnsi="Courier New"/>
    </w:rPr>
  </w:style>
  <w:style w:type="paragraph" w:customStyle="1" w:styleId="NoteBullet">
    <w:name w:val="Note Bullet"/>
    <w:basedOn w:val="Note"/>
    <w:rsid w:val="00871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A74"/>
    <w:rPr>
      <w:b/>
      <w:smallCaps/>
    </w:rPr>
  </w:style>
  <w:style w:type="paragraph" w:customStyle="1" w:styleId="TableListNumber">
    <w:name w:val="Table List Number"/>
    <w:basedOn w:val="ListNumber"/>
    <w:rsid w:val="00871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A74"/>
    <w:pPr>
      <w:numPr>
        <w:numId w:val="8"/>
      </w:numPr>
    </w:pPr>
  </w:style>
  <w:style w:type="paragraph" w:customStyle="1" w:styleId="ListAlpha2">
    <w:name w:val="List Alpha 2"/>
    <w:basedOn w:val="List2"/>
    <w:rsid w:val="00871A74"/>
    <w:pPr>
      <w:numPr>
        <w:numId w:val="7"/>
      </w:numPr>
    </w:pPr>
  </w:style>
  <w:style w:type="paragraph" w:styleId="List2">
    <w:name w:val="List 2"/>
    <w:basedOn w:val="BodyText"/>
    <w:rsid w:val="00871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A74"/>
    <w:pPr>
      <w:numPr>
        <w:numId w:val="2"/>
      </w:numPr>
    </w:pPr>
  </w:style>
  <w:style w:type="paragraph" w:styleId="ListBullet5">
    <w:name w:val="List Bullet 5"/>
    <w:basedOn w:val="List5"/>
    <w:rsid w:val="00871A74"/>
    <w:pPr>
      <w:numPr>
        <w:numId w:val="3"/>
      </w:numPr>
    </w:pPr>
  </w:style>
  <w:style w:type="paragraph" w:styleId="ListContinue2">
    <w:name w:val="List Continue 2"/>
    <w:basedOn w:val="List2"/>
    <w:rsid w:val="00871A74"/>
    <w:pPr>
      <w:ind w:firstLine="0"/>
    </w:pPr>
  </w:style>
  <w:style w:type="paragraph" w:styleId="ListContinue3">
    <w:name w:val="List Continue 3"/>
    <w:basedOn w:val="List3"/>
    <w:rsid w:val="00871A74"/>
    <w:pPr>
      <w:ind w:left="1021" w:firstLine="0"/>
    </w:pPr>
  </w:style>
  <w:style w:type="paragraph" w:styleId="ListContinue4">
    <w:name w:val="List Continue 4"/>
    <w:basedOn w:val="List4"/>
    <w:rsid w:val="00871A74"/>
    <w:pPr>
      <w:ind w:firstLine="0"/>
    </w:pPr>
  </w:style>
  <w:style w:type="paragraph" w:styleId="ListContinue5">
    <w:name w:val="List Continue 5"/>
    <w:basedOn w:val="List5"/>
    <w:rsid w:val="00871A74"/>
    <w:pPr>
      <w:ind w:firstLine="0"/>
    </w:pPr>
  </w:style>
  <w:style w:type="paragraph" w:styleId="ListNumber3">
    <w:name w:val="List Number 3"/>
    <w:basedOn w:val="List3"/>
    <w:rsid w:val="00871A74"/>
    <w:pPr>
      <w:numPr>
        <w:numId w:val="4"/>
      </w:numPr>
    </w:pPr>
  </w:style>
  <w:style w:type="paragraph" w:styleId="ListNumber4">
    <w:name w:val="List Number 4"/>
    <w:basedOn w:val="List4"/>
    <w:rsid w:val="00871A74"/>
    <w:pPr>
      <w:numPr>
        <w:numId w:val="5"/>
      </w:numPr>
    </w:pPr>
  </w:style>
  <w:style w:type="paragraph" w:styleId="ListNumber5">
    <w:name w:val="List Number 5"/>
    <w:basedOn w:val="List5"/>
    <w:rsid w:val="00871A74"/>
    <w:pPr>
      <w:numPr>
        <w:numId w:val="6"/>
      </w:numPr>
    </w:pPr>
  </w:style>
  <w:style w:type="paragraph" w:styleId="BlockText">
    <w:name w:val="Block Text"/>
    <w:basedOn w:val="Normal"/>
    <w:rsid w:val="00871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A74"/>
    <w:rPr>
      <w:sz w:val="16"/>
      <w:vertAlign w:val="superscript"/>
    </w:rPr>
  </w:style>
  <w:style w:type="character" w:customStyle="1" w:styleId="Symbols">
    <w:name w:val="Symbols"/>
    <w:basedOn w:val="DefaultParagraphFont"/>
    <w:rsid w:val="00871A74"/>
    <w:rPr>
      <w:rFonts w:ascii="Symbol" w:hAnsi="Symbol"/>
    </w:rPr>
  </w:style>
  <w:style w:type="character" w:customStyle="1" w:styleId="MenuOptions">
    <w:name w:val="Menu Options"/>
    <w:basedOn w:val="DefaultParagraphFont"/>
    <w:rsid w:val="00871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A74"/>
    <w:rPr>
      <w:b/>
    </w:rPr>
  </w:style>
  <w:style w:type="character" w:customStyle="1" w:styleId="Underlined">
    <w:name w:val="Underlined"/>
    <w:basedOn w:val="DefaultParagraphFont"/>
    <w:rsid w:val="00871A74"/>
    <w:rPr>
      <w:u w:val="single"/>
    </w:rPr>
  </w:style>
  <w:style w:type="paragraph" w:customStyle="1" w:styleId="TableBodyTextRight">
    <w:name w:val="Table Body Text Right"/>
    <w:basedOn w:val="TableBodyText"/>
    <w:rsid w:val="00871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A74"/>
    <w:rPr>
      <w:sz w:val="18"/>
    </w:rPr>
  </w:style>
  <w:style w:type="paragraph" w:customStyle="1" w:styleId="BodySmallRight">
    <w:name w:val="Body Small Right"/>
    <w:basedOn w:val="BodyTextRight"/>
    <w:rsid w:val="00871A74"/>
    <w:rPr>
      <w:sz w:val="18"/>
      <w:szCs w:val="18"/>
    </w:rPr>
  </w:style>
  <w:style w:type="paragraph" w:customStyle="1" w:styleId="MarginEdition">
    <w:name w:val="Margin Edition"/>
    <w:basedOn w:val="MarginNote"/>
    <w:rsid w:val="00871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A74"/>
    <w:rPr>
      <w:sz w:val="2"/>
      <w:szCs w:val="2"/>
    </w:rPr>
  </w:style>
  <w:style w:type="character" w:customStyle="1" w:styleId="Small">
    <w:name w:val="Small"/>
    <w:basedOn w:val="DefaultParagraphFont"/>
    <w:rsid w:val="00871A74"/>
    <w:rPr>
      <w:sz w:val="16"/>
    </w:rPr>
  </w:style>
  <w:style w:type="paragraph" w:customStyle="1" w:styleId="WideTable">
    <w:name w:val="Wide Table"/>
    <w:basedOn w:val="Normal"/>
    <w:rsid w:val="00871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A74"/>
  </w:style>
  <w:style w:type="paragraph" w:styleId="Quote">
    <w:name w:val="Quote"/>
    <w:basedOn w:val="Heading1"/>
    <w:link w:val="QuoteChar"/>
    <w:qFormat/>
    <w:rsid w:val="00871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A74"/>
    <w:pPr>
      <w:pageBreakBefore/>
    </w:pPr>
  </w:style>
  <w:style w:type="paragraph" w:customStyle="1" w:styleId="Border">
    <w:name w:val="Border"/>
    <w:basedOn w:val="Normal"/>
    <w:qFormat/>
    <w:rsid w:val="00871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A74"/>
    <w:rPr>
      <w:u w:val="single"/>
    </w:rPr>
  </w:style>
  <w:style w:type="paragraph" w:styleId="BalloonText">
    <w:name w:val="Balloon Text"/>
    <w:basedOn w:val="Normal"/>
    <w:link w:val="BalloonTextChar"/>
    <w:rsid w:val="00871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A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A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879</Words>
  <Characters>5897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DEFEO502D Conduct external explosive ordnance maintenance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2013-01-25T15:11:00Z</dcterms:created>
  <dcterms:modified xsi:type="dcterms:W3CDTF">2013-01-25T15:11:00Z</dcterms:modified>
</cp:coreProperties>
</file>