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5C2" w:rsidP="003315C2">
      <w:pPr>
        <w:pStyle w:val="Title"/>
      </w:pPr>
      <w:bookmarkStart w:id="0" w:name="_GoBack"/>
      <w:bookmarkEnd w:id="0"/>
      <w:r>
        <w:fldChar w:fldCharType="begin"/>
      </w:r>
      <w:r>
        <w:instrText xml:space="preserve"> TITLE   \* MERGEFORMAT </w:instrText>
      </w:r>
      <w:r>
        <w:fldChar w:fldCharType="separate"/>
      </w:r>
      <w:r>
        <w:t>DEFEO501D Conduct explosive ordnance inspection</w:t>
      </w:r>
      <w:r>
        <w:fldChar w:fldCharType="end"/>
      </w:r>
    </w:p>
    <w:p w:rsidR="003315C2" w:rsidP="003315C2">
      <w:pPr>
        <w:pStyle w:val="Version"/>
        <w:sectPr w:rsidSect="00717B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7B47" w:rsidP="00717B47">
      <w:pPr>
        <w:pStyle w:val="SuperHeading"/>
      </w:pPr>
      <w:r w:rsidRPr="00717B47">
        <w:t>DEFEO501D Conduct explosive ordnance inspection</w:t>
      </w:r>
    </w:p>
    <w:p w:rsidR="00000000" w:rsidRPr="00717B47" w:rsidP="00717B47">
      <w:pPr>
        <w:pStyle w:val="Heading1"/>
      </w:pPr>
      <w:bookmarkStart w:id="1" w:name="O_518476"/>
      <w:bookmarkEnd w:id="1"/>
      <w:r w:rsidRPr="00717B47">
        <w:t>Modification History</w:t>
      </w:r>
    </w:p>
    <w:tbl>
      <w:tblPr>
        <w:tblW w:w="0" w:type="auto"/>
        <w:tblLayout w:type="fixed"/>
        <w:tblCellMar>
          <w:left w:w="62" w:type="dxa"/>
          <w:right w:w="62" w:type="dxa"/>
        </w:tblCellMar>
        <w:tblLook w:val="0000"/>
      </w:tblPr>
      <w:tblGrid>
        <w:gridCol w:w="1134"/>
        <w:gridCol w:w="1701"/>
        <w:gridCol w:w="4536"/>
      </w:tblGrid>
      <w:tr w:rsidTr="003315C2">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B47" w:rsidP="00717B47">
            <w:pPr>
              <w:pStyle w:val="BodyText"/>
            </w:pPr>
            <w:r w:rsidRPr="00717B47">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B47" w:rsidP="00717B47">
            <w:pPr>
              <w:pStyle w:val="BodyText"/>
            </w:pPr>
            <w:r w:rsidRPr="00717B47">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rPr>
                <w:rStyle w:val="SpecialBold"/>
              </w:rPr>
              <w:t xml:space="preserve"> Comments</w:t>
            </w:r>
          </w:p>
        </w:tc>
      </w:tr>
      <w:tr w:rsidTr="003315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t>Layout adjusted.</w:t>
            </w:r>
          </w:p>
        </w:tc>
      </w:tr>
      <w:tr w:rsidTr="003315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B47" w:rsidP="00717B47">
            <w:pPr>
              <w:pStyle w:val="BodyText"/>
            </w:pPr>
            <w:r w:rsidRPr="00717B47">
              <w:t>First release.</w:t>
            </w:r>
          </w:p>
        </w:tc>
      </w:tr>
    </w:tbl>
    <w:p w:rsidR="003315C2" w:rsidP="00717B47">
      <w:pPr>
        <w:pStyle w:val="BodyText"/>
      </w:pPr>
    </w:p>
    <w:p w:rsidR="003315C2" w:rsidP="00717B47">
      <w:pPr>
        <w:pStyle w:val="BodyText"/>
      </w:pPr>
    </w:p>
    <w:p w:rsidR="00000000" w:rsidRPr="00717B47" w:rsidP="00717B47">
      <w:pPr>
        <w:pStyle w:val="Heading1"/>
      </w:pPr>
      <w:bookmarkStart w:id="2" w:name="O_518475"/>
      <w:bookmarkEnd w:id="2"/>
      <w:r w:rsidRPr="00717B47">
        <w:t>Unit Descriptor</w:t>
      </w:r>
    </w:p>
    <w:p w:rsidR="00000000" w:rsidRPr="00717B47" w:rsidP="00717B47">
      <w:pPr>
        <w:pStyle w:val="BodyText"/>
      </w:pPr>
      <w:r w:rsidRPr="00717B47">
        <w:t>This unit covers the competency required to conduct an inspection on all types of explosive ordnance in order to assess its condition and to process further action.</w:t>
      </w:r>
    </w:p>
    <w:p w:rsidR="00000000" w:rsidRPr="00717B47" w:rsidP="00717B47">
      <w:pPr>
        <w:pStyle w:val="AllowPageBreak"/>
      </w:pPr>
    </w:p>
    <w:p w:rsidR="00000000" w:rsidRPr="00717B47" w:rsidP="00717B47">
      <w:pPr>
        <w:pStyle w:val="Heading1"/>
      </w:pPr>
      <w:bookmarkStart w:id="3" w:name="O_518474"/>
      <w:bookmarkEnd w:id="3"/>
      <w:r w:rsidRPr="00717B47">
        <w:t>Application of the Unit</w:t>
      </w:r>
    </w:p>
    <w:p w:rsidR="00000000" w:rsidRPr="00717B47" w:rsidP="00717B47">
      <w:pPr>
        <w:pStyle w:val="BodyText"/>
      </w:pPr>
      <w:r w:rsidRPr="00717B47">
        <w:t>This competency normally applies to the individual</w:t>
      </w:r>
      <w:r w:rsidRPr="00717B47">
        <w:t xml:space="preserve"> who is required to conduct an inspection on all types of explosive ordnance in order to assess its condition and to process the explosive ordnance for further action. </w:t>
      </w:r>
    </w:p>
    <w:p w:rsidR="00000000" w:rsidRPr="00717B47" w:rsidP="00717B47">
      <w:pPr>
        <w:pStyle w:val="BodyText"/>
      </w:pPr>
      <w:r w:rsidRPr="00717B47">
        <w:t>The inspection of the explosive ordnance is carried out in a logical sequence while adh</w:t>
      </w:r>
      <w:r w:rsidRPr="00717B47">
        <w:t>ering to all relevant work health and safety (WHS) requirements. How the explosive ordnance is processed is subject to the outcomes of the inspection. In the case of defective or damaged explosive ordnance it may be retained and returned to the manufacture</w:t>
      </w:r>
      <w:r w:rsidRPr="00717B47">
        <w:t>r, maintained or disposed of, or restrictions may be placed on its use.</w:t>
      </w:r>
    </w:p>
    <w:p w:rsidR="00000000" w:rsidRPr="00717B47" w:rsidP="00717B47">
      <w:pPr>
        <w:pStyle w:val="AllowPageBreak"/>
      </w:pPr>
    </w:p>
    <w:p w:rsidR="00000000" w:rsidRPr="00717B47" w:rsidP="00717B47">
      <w:pPr>
        <w:pStyle w:val="Heading1"/>
      </w:pPr>
      <w:bookmarkStart w:id="4" w:name="O_518473"/>
      <w:bookmarkEnd w:id="4"/>
      <w:r w:rsidRPr="00717B47">
        <w:t>Licensing/Regulatory Information</w:t>
      </w:r>
    </w:p>
    <w:p w:rsidR="00000000" w:rsidRPr="00717B47" w:rsidP="00717B47">
      <w:pPr>
        <w:pStyle w:val="BodyText"/>
      </w:pPr>
      <w:r w:rsidRPr="00717B47">
        <w:t>Not applicable.</w:t>
      </w:r>
    </w:p>
    <w:p w:rsidR="00000000" w:rsidRPr="00717B47" w:rsidP="00717B47">
      <w:pPr>
        <w:pStyle w:val="AllowPageBreak"/>
      </w:pPr>
    </w:p>
    <w:p w:rsidR="00000000" w:rsidRPr="00717B47" w:rsidP="00717B47">
      <w:pPr>
        <w:pStyle w:val="Heading1"/>
      </w:pPr>
      <w:bookmarkStart w:id="5" w:name="O_518472"/>
      <w:bookmarkEnd w:id="5"/>
      <w:r w:rsidRPr="00717B47">
        <w:t>Pre-Requisites</w:t>
      </w:r>
    </w:p>
    <w:p w:rsidR="00000000" w:rsidRPr="00717B47" w:rsidP="00717B47">
      <w:pPr>
        <w:pStyle w:val="BodyText"/>
      </w:pPr>
      <w:r w:rsidRPr="00717B47">
        <w:t xml:space="preserve">Not applicable. </w:t>
      </w:r>
    </w:p>
    <w:p w:rsidR="00000000" w:rsidRPr="00717B47" w:rsidP="00717B47">
      <w:pPr>
        <w:pStyle w:val="AllowPageBreak"/>
      </w:pPr>
    </w:p>
    <w:p w:rsidR="00000000" w:rsidRPr="00717B47" w:rsidP="00717B47">
      <w:pPr>
        <w:pStyle w:val="Heading1"/>
      </w:pPr>
      <w:bookmarkStart w:id="6" w:name="O_518471"/>
      <w:bookmarkEnd w:id="6"/>
      <w:r w:rsidRPr="00717B47">
        <w:t>Employability Skills Information</w:t>
      </w:r>
    </w:p>
    <w:p w:rsidR="00000000" w:rsidRPr="00717B47" w:rsidP="00717B47">
      <w:pPr>
        <w:pStyle w:val="BodyText"/>
      </w:pPr>
      <w:r w:rsidRPr="00717B47">
        <w:t xml:space="preserve">This unit contains </w:t>
      </w:r>
      <w:r w:rsidRPr="00717B47">
        <w:t>employability skills.</w:t>
      </w:r>
    </w:p>
    <w:p w:rsidR="00000000" w:rsidRPr="00717B47" w:rsidP="00717B47">
      <w:pPr>
        <w:pStyle w:val="AllowPageBreak"/>
      </w:pPr>
    </w:p>
    <w:p w:rsidR="00000000" w:rsidRPr="00717B47" w:rsidP="00717B47">
      <w:pPr>
        <w:pStyle w:val="Heading1"/>
      </w:pPr>
      <w:bookmarkStart w:id="7" w:name="O_518470"/>
      <w:bookmarkEnd w:id="7"/>
      <w:r w:rsidRPr="00717B47">
        <w:t>Elements and Performance Criteria Pre-Content</w:t>
      </w:r>
    </w:p>
    <w:tbl>
      <w:tblPr>
        <w:tblW w:w="0" w:type="auto"/>
        <w:tblLayout w:type="fixed"/>
        <w:tblCellMar>
          <w:left w:w="62" w:type="dxa"/>
          <w:right w:w="62" w:type="dxa"/>
        </w:tblCellMar>
        <w:tblLook w:val="0000"/>
      </w:tblPr>
      <w:tblGrid>
        <w:gridCol w:w="3060"/>
        <w:gridCol w:w="5580"/>
      </w:tblGrid>
      <w:tr w:rsidTr="003315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7B47">
            <w:pPr>
              <w:pStyle w:val="BodyText"/>
              <w:rPr>
                <w:lang w:val="en-NZ"/>
              </w:rPr>
            </w:pPr>
            <w:r w:rsidRPr="00717B47">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717B47" w:rsidP="00717B47">
            <w:pPr>
              <w:pStyle w:val="BodyText"/>
            </w:pPr>
            <w:r w:rsidRPr="00717B47">
              <w:t xml:space="preserve">Performance Criteria describe the required performance needed to demonstrate achievement of the element. </w:t>
            </w:r>
            <w:r w:rsidRPr="00717B47">
              <w:t xml:space="preserve">Where </w:t>
            </w:r>
            <w:r w:rsidRPr="00717B47">
              <w:rPr>
                <w:rStyle w:val="BoldandItalics"/>
              </w:rPr>
              <w:t>bold italicised</w:t>
            </w:r>
            <w:r w:rsidRPr="00717B47">
              <w:t xml:space="preserve"> text is used, further information is detailed in the Range Statement. Assessment of performance is to be consistent with the Evidence Guide.</w:t>
            </w:r>
          </w:p>
        </w:tc>
      </w:tr>
    </w:tbl>
    <w:p w:rsidR="00000000" w:rsidRPr="00717B47" w:rsidP="00717B47">
      <w:pPr>
        <w:pStyle w:val="BodyText"/>
      </w:pPr>
    </w:p>
    <w:p w:rsidR="00000000" w:rsidRPr="00717B47" w:rsidP="00717B47">
      <w:pPr>
        <w:pStyle w:val="AllowPageBreak"/>
      </w:pPr>
    </w:p>
    <w:p w:rsidR="00000000" w:rsidRPr="00717B47" w:rsidP="00717B47">
      <w:pPr>
        <w:pStyle w:val="Heading1"/>
      </w:pPr>
      <w:bookmarkStart w:id="8" w:name="O_518469"/>
      <w:bookmarkEnd w:id="8"/>
      <w:r w:rsidRPr="00717B47">
        <w:t>Elements and Performance Criteria</w:t>
      </w:r>
    </w:p>
    <w:tbl>
      <w:tblPr>
        <w:tblW w:w="0" w:type="auto"/>
        <w:tblLayout w:type="fixed"/>
        <w:tblCellMar>
          <w:left w:w="62" w:type="dxa"/>
          <w:right w:w="62" w:type="dxa"/>
        </w:tblCellMar>
        <w:tblLook w:val="0000"/>
      </w:tblPr>
      <w:tblGrid>
        <w:gridCol w:w="3060"/>
        <w:gridCol w:w="5580"/>
      </w:tblGrid>
      <w:tr w:rsidTr="003315C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17B47" w:rsidP="00717B47">
            <w:pPr>
              <w:pStyle w:val="BodyText"/>
            </w:pPr>
            <w:r w:rsidRPr="00717B4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17B47">
            <w:pPr>
              <w:pStyle w:val="BodyText"/>
              <w:rPr>
                <w:lang w:val="en-NZ"/>
              </w:rPr>
            </w:pPr>
            <w:r w:rsidRPr="00717B47">
              <w:rPr>
                <w:rStyle w:val="SpecialBold"/>
              </w:rPr>
              <w:t>PERFORMANCE CRITERIA</w:t>
            </w:r>
          </w:p>
        </w:tc>
      </w:tr>
      <w:tr w:rsidTr="003315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7B47">
            <w:pPr>
              <w:pStyle w:val="List"/>
              <w:rPr>
                <w:lang w:val="en-NZ"/>
              </w:rPr>
            </w:pPr>
            <w:r w:rsidRPr="00717B47">
              <w:t>1.</w:t>
            </w:r>
            <w:r w:rsidRPr="00717B47">
              <w:tab/>
            </w:r>
            <w:r w:rsidRPr="00717B47">
              <w:rPr>
                <w:rStyle w:val="SpecialBold"/>
              </w:rPr>
              <w:t>Prepare for inspection</w:t>
            </w:r>
          </w:p>
        </w:tc>
        <w:tc>
          <w:tcPr>
            <w:tcW w:w="5580" w:type="dxa"/>
            <w:tcBorders>
              <w:top w:val="nil"/>
              <w:left w:val="nil"/>
              <w:bottom w:val="nil"/>
              <w:right w:val="nil"/>
            </w:tcBorders>
            <w:tcMar>
              <w:top w:w="0" w:type="dxa"/>
              <w:left w:w="62" w:type="dxa"/>
              <w:bottom w:w="0" w:type="dxa"/>
              <w:right w:w="62" w:type="dxa"/>
            </w:tcMar>
          </w:tcPr>
          <w:p w:rsidR="00000000" w:rsidRPr="00717B47" w:rsidP="00717B47">
            <w:pPr>
              <w:pStyle w:val="List"/>
            </w:pPr>
            <w:r w:rsidRPr="00717B47">
              <w:t>1.1</w:t>
            </w:r>
            <w:r w:rsidRPr="00717B47">
              <w:tab/>
              <w:t xml:space="preserve">Requirement for </w:t>
            </w:r>
            <w:r w:rsidRPr="00717B47">
              <w:rPr>
                <w:rStyle w:val="BoldandItalics"/>
              </w:rPr>
              <w:t>explosive ordnance inspection</w:t>
            </w:r>
            <w:r w:rsidRPr="00717B47">
              <w:t xml:space="preserve"> is identified from work requests/instructions and confirmed</w:t>
            </w:r>
          </w:p>
          <w:p w:rsidR="00000000" w:rsidRPr="00717B47" w:rsidP="00717B47">
            <w:pPr>
              <w:pStyle w:val="List"/>
            </w:pPr>
            <w:r w:rsidRPr="00717B47">
              <w:t>1.2</w:t>
            </w:r>
            <w:r w:rsidRPr="00717B47">
              <w:tab/>
              <w:t xml:space="preserve">WHS requirements, including those contained in </w:t>
            </w:r>
            <w:r w:rsidRPr="00717B47">
              <w:rPr>
                <w:rStyle w:val="BoldandItalics"/>
              </w:rPr>
              <w:t>organisational</w:t>
            </w:r>
            <w:r w:rsidRPr="00717B47">
              <w:t xml:space="preserve"> procedures, are applied throughout the operation</w:t>
            </w:r>
          </w:p>
          <w:p w:rsidR="00000000" w:rsidRPr="00717B47" w:rsidP="00717B47">
            <w:pPr>
              <w:pStyle w:val="List"/>
            </w:pPr>
            <w:r w:rsidRPr="00717B47">
              <w:t>1.3</w:t>
            </w:r>
            <w:r w:rsidRPr="00717B47">
              <w:tab/>
            </w:r>
            <w:r w:rsidRPr="00717B47">
              <w:rPr>
                <w:rStyle w:val="BoldandItalics"/>
              </w:rPr>
              <w:t>Tech</w:t>
            </w:r>
            <w:r w:rsidRPr="00717B47">
              <w:rPr>
                <w:rStyle w:val="BoldandItalics"/>
              </w:rPr>
              <w:t>nical references</w:t>
            </w:r>
            <w:r w:rsidRPr="00717B47">
              <w:t>, tools and equipment required for the inspection are identified, acquired and prepared in accordance with organisation procedures</w:t>
            </w:r>
          </w:p>
          <w:p w:rsidR="00000000" w:rsidRPr="00717B47" w:rsidP="00717B47">
            <w:pPr>
              <w:pStyle w:val="List"/>
            </w:pPr>
            <w:r w:rsidRPr="00717B47">
              <w:t>1.4</w:t>
            </w:r>
            <w:r w:rsidRPr="00717B47">
              <w:tab/>
              <w:t xml:space="preserve">Explosive ordnance is acquired, identified and accounted for, moved or pre-positioned in preparation for </w:t>
            </w:r>
            <w:r w:rsidRPr="00717B47">
              <w:t>inspection</w:t>
            </w:r>
          </w:p>
          <w:p w:rsidR="00000000" w:rsidP="00717B47">
            <w:pPr>
              <w:pStyle w:val="List"/>
              <w:rPr>
                <w:lang w:val="en-NZ"/>
              </w:rPr>
            </w:pPr>
            <w:r w:rsidRPr="00717B47">
              <w:t>1.5</w:t>
            </w:r>
            <w:r w:rsidRPr="00717B47">
              <w:tab/>
            </w:r>
            <w:r w:rsidRPr="00717B47">
              <w:rPr>
                <w:rStyle w:val="BoldandItalics"/>
              </w:rPr>
              <w:t>Net explosive quantities</w:t>
            </w:r>
            <w:r w:rsidRPr="00717B47">
              <w:t xml:space="preserve"> and </w:t>
            </w:r>
            <w:r w:rsidRPr="00717B47">
              <w:rPr>
                <w:rStyle w:val="BoldandItalics"/>
              </w:rPr>
              <w:t>compatibility</w:t>
            </w:r>
            <w:r w:rsidRPr="00717B47">
              <w:t xml:space="preserve"> are identified, calculated, assessed and applied throughout the operation</w:t>
            </w:r>
          </w:p>
        </w:tc>
      </w:tr>
      <w:tr w:rsidTr="003315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7B47">
            <w:pPr>
              <w:pStyle w:val="List"/>
              <w:rPr>
                <w:lang w:val="en-NZ"/>
              </w:rPr>
            </w:pPr>
            <w:r w:rsidRPr="00717B47">
              <w:t>2.</w:t>
            </w:r>
            <w:r w:rsidRPr="00717B47">
              <w:tab/>
            </w:r>
            <w:r w:rsidRPr="00717B47">
              <w:rPr>
                <w:rStyle w:val="SpecialBold"/>
              </w:rPr>
              <w:t>Inspect explosive ordnance</w:t>
            </w:r>
          </w:p>
        </w:tc>
        <w:tc>
          <w:tcPr>
            <w:tcW w:w="5580" w:type="dxa"/>
            <w:tcBorders>
              <w:top w:val="nil"/>
              <w:left w:val="nil"/>
              <w:bottom w:val="nil"/>
              <w:right w:val="nil"/>
            </w:tcBorders>
            <w:tcMar>
              <w:top w:w="0" w:type="dxa"/>
              <w:left w:w="62" w:type="dxa"/>
              <w:bottom w:w="0" w:type="dxa"/>
              <w:right w:w="62" w:type="dxa"/>
            </w:tcMar>
          </w:tcPr>
          <w:p w:rsidR="00000000" w:rsidRPr="00717B47" w:rsidP="00717B47">
            <w:pPr>
              <w:pStyle w:val="List"/>
            </w:pPr>
            <w:r w:rsidRPr="00717B47">
              <w:t>2.1</w:t>
            </w:r>
            <w:r w:rsidRPr="00717B47">
              <w:tab/>
              <w:t xml:space="preserve">Explosive ordnance is </w:t>
            </w:r>
            <w:r w:rsidRPr="00717B47">
              <w:rPr>
                <w:rStyle w:val="BoldandItalics"/>
              </w:rPr>
              <w:t xml:space="preserve">inspected </w:t>
            </w:r>
            <w:r w:rsidRPr="00717B47">
              <w:t xml:space="preserve">in a logical set sequence to ensure that </w:t>
            </w:r>
            <w:r w:rsidRPr="00717B47">
              <w:rPr>
                <w:rStyle w:val="BoldandItalics"/>
              </w:rPr>
              <w:t>defects or damage</w:t>
            </w:r>
            <w:r w:rsidRPr="00717B47">
              <w:t xml:space="preserve"> are not overlooked in accordance with organisation policy and procedures and technical specifications</w:t>
            </w:r>
          </w:p>
          <w:p w:rsidR="00000000" w:rsidP="00717B47">
            <w:pPr>
              <w:pStyle w:val="List"/>
              <w:rPr>
                <w:lang w:val="en-NZ"/>
              </w:rPr>
            </w:pPr>
            <w:r w:rsidRPr="00717B47">
              <w:t>2.2</w:t>
            </w:r>
            <w:r w:rsidRPr="00717B47">
              <w:tab/>
              <w:t>Damage or other defects are identified and recorded in accordance with organisation procedures</w:t>
            </w:r>
          </w:p>
        </w:tc>
      </w:tr>
      <w:tr w:rsidTr="003315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7B47">
            <w:pPr>
              <w:pStyle w:val="List"/>
              <w:rPr>
                <w:lang w:val="en-NZ"/>
              </w:rPr>
            </w:pPr>
            <w:r w:rsidRPr="00717B47">
              <w:t>3.</w:t>
            </w:r>
            <w:r w:rsidRPr="00717B47">
              <w:tab/>
            </w:r>
            <w:r w:rsidRPr="00717B47">
              <w:rPr>
                <w:rStyle w:val="SpecialBold"/>
              </w:rPr>
              <w:t>Carry out post inspection procedu</w:t>
            </w:r>
            <w:r w:rsidRPr="00717B47">
              <w:rPr>
                <w:rStyle w:val="SpecialBold"/>
              </w:rPr>
              <w:t>res</w:t>
            </w:r>
          </w:p>
        </w:tc>
        <w:tc>
          <w:tcPr>
            <w:tcW w:w="5580" w:type="dxa"/>
            <w:tcBorders>
              <w:top w:val="nil"/>
              <w:left w:val="nil"/>
              <w:bottom w:val="nil"/>
              <w:right w:val="nil"/>
            </w:tcBorders>
            <w:tcMar>
              <w:top w:w="0" w:type="dxa"/>
              <w:left w:w="62" w:type="dxa"/>
              <w:bottom w:w="0" w:type="dxa"/>
              <w:right w:w="62" w:type="dxa"/>
            </w:tcMar>
          </w:tcPr>
          <w:p w:rsidR="00000000" w:rsidRPr="00717B47" w:rsidP="00717B47">
            <w:pPr>
              <w:pStyle w:val="List"/>
            </w:pPr>
            <w:r w:rsidRPr="00717B47">
              <w:t>3.1</w:t>
            </w:r>
            <w:r w:rsidRPr="00717B47">
              <w:tab/>
              <w:t xml:space="preserve">Explosive ordnance is </w:t>
            </w:r>
            <w:r w:rsidRPr="00717B47">
              <w:rPr>
                <w:rStyle w:val="BoldandItalics"/>
              </w:rPr>
              <w:t xml:space="preserve">processed </w:t>
            </w:r>
            <w:r w:rsidRPr="00717B47">
              <w:t>in accordance with organisation procedures</w:t>
            </w:r>
          </w:p>
          <w:p w:rsidR="00000000" w:rsidRPr="00717B47" w:rsidP="00717B47">
            <w:pPr>
              <w:pStyle w:val="List"/>
            </w:pPr>
            <w:r w:rsidRPr="00717B47">
              <w:t>3.2</w:t>
            </w:r>
            <w:r w:rsidRPr="00717B47">
              <w:tab/>
            </w:r>
            <w:r w:rsidRPr="00717B47">
              <w:rPr>
                <w:rStyle w:val="BoldandItalics"/>
              </w:rPr>
              <w:t>Documentation and records</w:t>
            </w:r>
            <w:r w:rsidRPr="00717B47">
              <w:t xml:space="preserve"> are maintained in accordance with statutory, organisation and workshop requirements</w:t>
            </w:r>
          </w:p>
        </w:tc>
      </w:tr>
    </w:tbl>
    <w:p w:rsidR="00000000" w:rsidRPr="00717B47" w:rsidP="00717B47">
      <w:pPr>
        <w:pStyle w:val="BodyText"/>
      </w:pPr>
    </w:p>
    <w:p w:rsidR="00000000" w:rsidRPr="00717B47" w:rsidP="00717B47">
      <w:pPr>
        <w:pStyle w:val="AllowPageBreak"/>
      </w:pPr>
    </w:p>
    <w:p w:rsidR="00000000" w:rsidRPr="00717B47" w:rsidP="00717B47">
      <w:pPr>
        <w:pStyle w:val="Heading1"/>
      </w:pPr>
      <w:bookmarkStart w:id="9" w:name="O_518468"/>
      <w:bookmarkEnd w:id="9"/>
      <w:r w:rsidRPr="00717B47">
        <w:t>Required Skills and Knowledge</w:t>
      </w:r>
    </w:p>
    <w:tbl>
      <w:tblPr>
        <w:tblW w:w="0" w:type="auto"/>
        <w:tblLayout w:type="fixed"/>
        <w:tblCellMar>
          <w:left w:w="62" w:type="dxa"/>
          <w:right w:w="62" w:type="dxa"/>
        </w:tblCellMar>
        <w:tblLook w:val="0000"/>
      </w:tblPr>
      <w:tblGrid>
        <w:gridCol w:w="8640"/>
      </w:tblGrid>
      <w:tr w:rsidTr="003315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17B47">
            <w:pPr>
              <w:pStyle w:val="BodyText"/>
              <w:rPr>
                <w:lang w:val="en-NZ"/>
              </w:rPr>
            </w:pPr>
            <w:r w:rsidRPr="00717B47">
              <w:t>This descr</w:t>
            </w:r>
            <w:r w:rsidRPr="00717B47">
              <w:t>ibes the essential skills and knowledge and their level, required for this unit.</w:t>
            </w:r>
          </w:p>
        </w:tc>
      </w:tr>
      <w:tr w:rsidTr="003315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17B47">
            <w:pPr>
              <w:pStyle w:val="BodyText"/>
              <w:rPr>
                <w:lang w:val="en-NZ"/>
              </w:rPr>
            </w:pPr>
            <w:r w:rsidRPr="00717B47">
              <w:rPr>
                <w:rStyle w:val="SpecialBold"/>
              </w:rPr>
              <w:t>Required Skills</w:t>
            </w:r>
          </w:p>
        </w:tc>
      </w:tr>
      <w:tr w:rsidTr="003315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17B47" w:rsidP="00717B47">
            <w:pPr>
              <w:pStyle w:val="ListBullet"/>
            </w:pPr>
            <w:r w:rsidRPr="00717B47">
              <w:t>apply compatibility constraints</w:t>
            </w:r>
          </w:p>
          <w:p w:rsidR="00000000" w:rsidRPr="00717B47" w:rsidP="00717B47">
            <w:pPr>
              <w:pStyle w:val="ListBullet"/>
            </w:pPr>
            <w:r w:rsidRPr="00717B47">
              <w:t>apply safety policies and structures</w:t>
            </w:r>
          </w:p>
          <w:p w:rsidR="00000000" w:rsidRPr="00717B47" w:rsidP="00717B47">
            <w:pPr>
              <w:pStyle w:val="ListBullet"/>
            </w:pPr>
            <w:r w:rsidRPr="00717B47">
              <w:t>apply WHS requirements</w:t>
            </w:r>
          </w:p>
          <w:p w:rsidR="00000000" w:rsidRPr="00717B47" w:rsidP="00717B47">
            <w:pPr>
              <w:pStyle w:val="ListBullet"/>
            </w:pPr>
            <w:r w:rsidRPr="00717B47">
              <w:t>calculate net explosive quantity</w:t>
            </w:r>
          </w:p>
          <w:p w:rsidR="00000000" w:rsidRPr="00717B47" w:rsidP="00717B47">
            <w:pPr>
              <w:pStyle w:val="ListBullet"/>
            </w:pPr>
            <w:r w:rsidRPr="00717B47">
              <w:t>communicate orally and in writing</w:t>
            </w:r>
          </w:p>
          <w:p w:rsidR="00000000" w:rsidRPr="00717B47" w:rsidP="00717B47">
            <w:pPr>
              <w:pStyle w:val="ListBullet"/>
            </w:pPr>
            <w:r w:rsidRPr="00717B47">
              <w:t>maintain documentation</w:t>
            </w:r>
          </w:p>
          <w:p w:rsidR="00000000" w:rsidRPr="00717B47" w:rsidP="00717B47">
            <w:pPr>
              <w:pStyle w:val="ListBullet"/>
            </w:pPr>
            <w:r w:rsidRPr="00717B47">
              <w:t>read, access, interpret and apply technical instructions and drawings related to explosive ordnance inspections</w:t>
            </w:r>
          </w:p>
          <w:p w:rsidR="00000000" w:rsidP="00717B47">
            <w:pPr>
              <w:pStyle w:val="ListBullet"/>
              <w:rPr>
                <w:lang w:val="en-NZ"/>
              </w:rPr>
            </w:pPr>
            <w:r w:rsidRPr="00717B47">
              <w:t>use relevant tools and equipment</w:t>
            </w:r>
          </w:p>
        </w:tc>
      </w:tr>
      <w:tr w:rsidTr="003315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17B47">
            <w:pPr>
              <w:pStyle w:val="BodyText"/>
              <w:rPr>
                <w:lang w:val="en-NZ"/>
              </w:rPr>
            </w:pPr>
            <w:r w:rsidRPr="00717B47">
              <w:rPr>
                <w:rStyle w:val="SpecialBold"/>
              </w:rPr>
              <w:t>Required Knowledge</w:t>
            </w:r>
          </w:p>
        </w:tc>
      </w:tr>
      <w:tr w:rsidTr="003315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17B47" w:rsidP="00717B47">
            <w:pPr>
              <w:pStyle w:val="ListBullet"/>
            </w:pPr>
            <w:r w:rsidRPr="00717B47">
              <w:t>assessment of compatibility</w:t>
            </w:r>
          </w:p>
          <w:p w:rsidR="00000000" w:rsidRPr="00717B47" w:rsidP="00717B47">
            <w:pPr>
              <w:pStyle w:val="ListBullet"/>
            </w:pPr>
            <w:r w:rsidRPr="00717B47">
              <w:t>calc</w:t>
            </w:r>
            <w:r w:rsidRPr="00717B47">
              <w:t>ulation of net explosive quantity</w:t>
            </w:r>
          </w:p>
          <w:p w:rsidR="00000000" w:rsidRPr="00717B47" w:rsidP="00717B47">
            <w:pPr>
              <w:pStyle w:val="ListBullet"/>
            </w:pPr>
            <w:r w:rsidRPr="00717B47">
              <w:t>characteristics and limitations of explosive ordnance to be inspected</w:t>
            </w:r>
          </w:p>
          <w:p w:rsidR="00000000" w:rsidRPr="00717B47" w:rsidP="00717B47">
            <w:pPr>
              <w:pStyle w:val="ListBullet"/>
            </w:pPr>
            <w:r w:rsidRPr="00717B47">
              <w:t>inspection procedures</w:t>
            </w:r>
          </w:p>
          <w:p w:rsidR="00000000" w:rsidRPr="00717B47" w:rsidP="00717B47">
            <w:pPr>
              <w:pStyle w:val="ListBullet"/>
            </w:pPr>
            <w:r w:rsidRPr="00717B47">
              <w:t>organisational documentation requirements</w:t>
            </w:r>
          </w:p>
          <w:p w:rsidR="00000000" w:rsidRPr="00717B47" w:rsidP="00717B47">
            <w:pPr>
              <w:pStyle w:val="ListBullet"/>
            </w:pPr>
            <w:r w:rsidRPr="00717B47">
              <w:t>organisational WH&amp;S requirements</w:t>
            </w:r>
          </w:p>
          <w:p w:rsidR="00000000" w:rsidRPr="00717B47" w:rsidP="00717B47">
            <w:pPr>
              <w:pStyle w:val="ListBullet"/>
            </w:pPr>
            <w:r w:rsidRPr="00717B47">
              <w:t>organisational safety policies and structures</w:t>
            </w:r>
          </w:p>
        </w:tc>
      </w:tr>
    </w:tbl>
    <w:p w:rsidR="00000000" w:rsidRPr="00717B47" w:rsidP="00717B47">
      <w:pPr>
        <w:pStyle w:val="BodyText"/>
      </w:pPr>
    </w:p>
    <w:p w:rsidR="00000000" w:rsidRPr="00717B47" w:rsidP="00717B47">
      <w:pPr>
        <w:pStyle w:val="AllowPageBreak"/>
      </w:pPr>
    </w:p>
    <w:p w:rsidR="00000000" w:rsidRPr="00717B47" w:rsidP="00717B47">
      <w:pPr>
        <w:pStyle w:val="Heading1"/>
      </w:pPr>
      <w:bookmarkStart w:id="10" w:name="O_518467"/>
      <w:bookmarkEnd w:id="10"/>
      <w:r w:rsidRPr="00717B47">
        <w:t>Evidence Guide</w:t>
      </w:r>
    </w:p>
    <w:tbl>
      <w:tblPr>
        <w:tblW w:w="0" w:type="auto"/>
        <w:tblLayout w:type="fixed"/>
        <w:tblCellMar>
          <w:left w:w="62" w:type="dxa"/>
          <w:right w:w="62" w:type="dxa"/>
        </w:tblCellMar>
        <w:tblLook w:val="0000"/>
      </w:tblPr>
      <w:tblGrid>
        <w:gridCol w:w="3060"/>
        <w:gridCol w:w="5580"/>
      </w:tblGrid>
      <w:tr w:rsidTr="003315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7B47">
            <w:pPr>
              <w:pStyle w:val="BodyText"/>
              <w:rPr>
                <w:lang w:val="en-NZ"/>
              </w:rPr>
            </w:pPr>
            <w:r w:rsidRPr="00717B47">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17B47" w:rsidP="00717B47">
            <w:pPr>
              <w:pStyle w:val="BodyText"/>
            </w:pPr>
            <w:r w:rsidRPr="00717B47">
              <w:t>Assessment must confirm the ability to comply with:</w:t>
            </w:r>
          </w:p>
          <w:p w:rsidR="00000000" w:rsidRPr="00717B47" w:rsidP="00717B47">
            <w:pPr>
              <w:pStyle w:val="ListBullet"/>
            </w:pPr>
            <w:r w:rsidRPr="00717B47">
              <w:t>organisational safety requirements</w:t>
            </w:r>
          </w:p>
          <w:p w:rsidR="00000000" w:rsidRPr="00717B47" w:rsidP="00717B47">
            <w:pPr>
              <w:pStyle w:val="ListBullet"/>
            </w:pPr>
            <w:r w:rsidRPr="00717B47">
              <w:t>appropriate legislative and regulatory requi</w:t>
            </w:r>
            <w:r w:rsidRPr="00717B47">
              <w:t>rements.</w:t>
            </w:r>
          </w:p>
          <w:p w:rsidR="00000000" w:rsidRPr="00717B47" w:rsidP="00717B47">
            <w:pPr>
              <w:pStyle w:val="BodyText"/>
            </w:pPr>
            <w:r w:rsidRPr="00717B47">
              <w:t>Assessment must also confirm the ability to work safely within an explosive ordnance environment and to:</w:t>
            </w:r>
          </w:p>
          <w:p w:rsidR="00000000" w:rsidRPr="00717B47" w:rsidP="00717B47">
            <w:pPr>
              <w:pStyle w:val="ListBullet"/>
            </w:pPr>
            <w:r w:rsidRPr="00717B47">
              <w:t>calculate and apply net explosive quantity</w:t>
            </w:r>
          </w:p>
          <w:p w:rsidR="00000000" w:rsidRPr="00717B47" w:rsidP="00717B47">
            <w:pPr>
              <w:pStyle w:val="ListBullet"/>
            </w:pPr>
            <w:r w:rsidRPr="00717B47">
              <w:t>assess and apply compatibility</w:t>
            </w:r>
          </w:p>
          <w:p w:rsidR="00000000" w:rsidRPr="00717B47" w:rsidP="00717B47">
            <w:pPr>
              <w:pStyle w:val="ListBullet"/>
            </w:pPr>
            <w:r w:rsidRPr="00717B47">
              <w:t>process explosive ordnance</w:t>
            </w:r>
          </w:p>
          <w:p w:rsidR="00000000" w:rsidRPr="00717B47" w:rsidP="00717B47">
            <w:pPr>
              <w:pStyle w:val="ListBullet"/>
            </w:pPr>
            <w:r w:rsidRPr="00717B47">
              <w:t>maintain documentation</w:t>
            </w:r>
          </w:p>
          <w:p w:rsidR="00000000" w:rsidRPr="00717B47" w:rsidP="00717B47">
            <w:pPr>
              <w:pStyle w:val="BodyText"/>
            </w:pPr>
            <w:r w:rsidRPr="00717B47">
              <w:rPr>
                <w:rStyle w:val="SpecialBold"/>
              </w:rPr>
              <w:t>Consistency in performance</w:t>
            </w:r>
          </w:p>
          <w:p w:rsidR="00000000" w:rsidP="00717B47">
            <w:pPr>
              <w:pStyle w:val="BodyText"/>
              <w:rPr>
                <w:lang w:val="en-NZ"/>
              </w:rPr>
            </w:pPr>
            <w:r w:rsidRPr="00717B47">
              <w:t>Competency should be demonstrated in a range of actual or simulated explosive ordnance contexts.</w:t>
            </w:r>
          </w:p>
        </w:tc>
      </w:tr>
      <w:tr w:rsidTr="003315C2">
        <w:tblPrEx>
          <w:tblW w:w="0" w:type="auto"/>
          <w:tblLayout w:type="fixed"/>
          <w:tblCellMar>
            <w:left w:w="62" w:type="dxa"/>
            <w:right w:w="62" w:type="dxa"/>
          </w:tblCellMar>
          <w:tblLook w:val="0000"/>
        </w:tblPrEx>
        <w:trPr>
          <w:trHeight w:val="3059"/>
        </w:trPr>
        <w:tc>
          <w:tcPr>
            <w:tcW w:w="3060" w:type="dxa"/>
            <w:tcBorders>
              <w:top w:val="nil"/>
              <w:left w:val="nil"/>
              <w:bottom w:val="nil"/>
              <w:right w:val="nil"/>
            </w:tcBorders>
            <w:tcMar>
              <w:top w:w="0" w:type="dxa"/>
              <w:left w:w="62" w:type="dxa"/>
              <w:bottom w:w="0" w:type="dxa"/>
              <w:right w:w="62" w:type="dxa"/>
            </w:tcMar>
          </w:tcPr>
          <w:p w:rsidR="00000000" w:rsidRPr="00717B47" w:rsidP="00717B47">
            <w:pPr>
              <w:pStyle w:val="BodyText"/>
            </w:pPr>
            <w:r w:rsidRPr="00717B47">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17B47" w:rsidP="00717B47">
            <w:pPr>
              <w:pStyle w:val="BodyText"/>
            </w:pPr>
            <w:r w:rsidRPr="00717B47">
              <w:rPr>
                <w:rStyle w:val="SpecialBold"/>
              </w:rPr>
              <w:t>Context of assessment</w:t>
            </w:r>
          </w:p>
          <w:p w:rsidR="00000000" w:rsidRPr="00717B47" w:rsidP="00717B47">
            <w:pPr>
              <w:pStyle w:val="BodyText"/>
            </w:pPr>
            <w:r w:rsidRPr="00717B47">
              <w:t>Competency should be assessed in the workplace or in a simul</w:t>
            </w:r>
            <w:r w:rsidRPr="00717B47">
              <w:t>ated work environment, in accordance with all relevant legislation and organisation requirements.</w:t>
            </w:r>
          </w:p>
          <w:p w:rsidR="00000000" w:rsidRPr="00717B47" w:rsidP="00717B47">
            <w:pPr>
              <w:pStyle w:val="BodyText"/>
            </w:pPr>
            <w:r w:rsidRPr="00717B47">
              <w:rPr>
                <w:rStyle w:val="SpecialBold"/>
              </w:rPr>
              <w:t>Specific resources for assessment</w:t>
            </w:r>
          </w:p>
          <w:p w:rsidR="00000000" w:rsidRPr="00717B47" w:rsidP="00717B47">
            <w:pPr>
              <w:pStyle w:val="BodyText"/>
            </w:pPr>
            <w:r w:rsidRPr="00717B47">
              <w:t>Access is required to:</w:t>
            </w:r>
          </w:p>
          <w:p w:rsidR="00000000" w:rsidP="00717B47">
            <w:pPr>
              <w:pStyle w:val="ListBullet"/>
              <w:rPr>
                <w:lang w:val="en-NZ"/>
              </w:rPr>
            </w:pPr>
            <w:r w:rsidRPr="00717B47">
              <w:t>facilities and resources used in the storage, distribution or maintenance of explosive ordnance, inc</w:t>
            </w:r>
            <w:r w:rsidRPr="00717B47">
              <w:t>luding a licensed explosive site</w:t>
            </w:r>
          </w:p>
        </w:tc>
      </w:tr>
      <w:tr w:rsidTr="003315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7B47">
            <w:pPr>
              <w:pStyle w:val="BodyText"/>
              <w:rPr>
                <w:lang w:val="en-NZ"/>
              </w:rPr>
            </w:pPr>
            <w:r w:rsidRPr="00717B47">
              <w:rPr>
                <w:rStyle w:val="SpecialBold"/>
              </w:rPr>
              <w:t>Method of assessment</w:t>
            </w:r>
            <w:r w:rsidRPr="00717B47">
              <w:t xml:space="preserve"> </w:t>
            </w:r>
          </w:p>
        </w:tc>
        <w:tc>
          <w:tcPr>
            <w:tcW w:w="5580" w:type="dxa"/>
            <w:tcBorders>
              <w:top w:val="nil"/>
              <w:left w:val="nil"/>
              <w:bottom w:val="nil"/>
              <w:right w:val="nil"/>
            </w:tcBorders>
            <w:tcMar>
              <w:top w:w="0" w:type="dxa"/>
              <w:left w:w="62" w:type="dxa"/>
              <w:bottom w:w="0" w:type="dxa"/>
              <w:right w:w="62" w:type="dxa"/>
            </w:tcMar>
          </w:tcPr>
          <w:p w:rsidR="00000000" w:rsidRPr="00717B47" w:rsidP="00717B47">
            <w:pPr>
              <w:pStyle w:val="BodyText"/>
            </w:pPr>
            <w:r w:rsidRPr="00717B47">
              <w:t>This unit may be assessed with the following unit:</w:t>
            </w:r>
          </w:p>
          <w:p w:rsidR="00000000" w:rsidRPr="00717B47" w:rsidP="00717B47">
            <w:pPr>
              <w:pStyle w:val="ListBullet"/>
            </w:pPr>
            <w:r w:rsidRPr="00717B47">
              <w:t>DEFEO101D Work safely with explosive ordnance.</w:t>
            </w:r>
          </w:p>
          <w:p w:rsidR="00000000" w:rsidRPr="00717B47" w:rsidP="00717B47">
            <w:pPr>
              <w:pStyle w:val="BodyText"/>
            </w:pPr>
            <w:r w:rsidRPr="00717B47">
              <w:t>In a public safety environment assessment is usually conducted via direct observation in a training environment or in the workplace via subject matter supervision and/or mentoring, which is typically recorded in a competency workbook.</w:t>
            </w:r>
          </w:p>
          <w:p w:rsidR="00000000" w:rsidRPr="00717B47" w:rsidP="00717B47">
            <w:pPr>
              <w:pStyle w:val="BodyText"/>
            </w:pPr>
            <w:r w:rsidRPr="00717B47">
              <w:t>Assessment is complet</w:t>
            </w:r>
            <w:r w:rsidRPr="00717B47">
              <w:t>ed using appropriately qualified assessors who select the most appropriate method of assessment.</w:t>
            </w:r>
          </w:p>
          <w:p w:rsidR="00000000" w:rsidRPr="00717B47" w:rsidP="00717B47">
            <w:pPr>
              <w:pStyle w:val="BodyText"/>
            </w:pPr>
            <w:r w:rsidRPr="00717B47">
              <w:t>Assessment may occur in an operational environment or in an industry-approved simulated work environment. Forms of assessment that are typically used include:</w:t>
            </w:r>
          </w:p>
          <w:p w:rsidR="00000000" w:rsidRPr="00717B47" w:rsidP="00717B47">
            <w:pPr>
              <w:pStyle w:val="ListBullet"/>
            </w:pPr>
            <w:r w:rsidRPr="00717B47">
              <w:t>direct observation</w:t>
            </w:r>
          </w:p>
          <w:p w:rsidR="00000000" w:rsidRPr="00717B47" w:rsidP="00717B47">
            <w:pPr>
              <w:pStyle w:val="ListBullet"/>
            </w:pPr>
            <w:r w:rsidRPr="00717B47">
              <w:t>interviewing the candidate</w:t>
            </w:r>
          </w:p>
          <w:p w:rsidR="00000000" w:rsidRPr="00717B47" w:rsidP="00717B47">
            <w:pPr>
              <w:pStyle w:val="ListBullet"/>
            </w:pPr>
            <w:r w:rsidRPr="00717B47">
              <w:t>journals and workplace documentation</w:t>
            </w:r>
          </w:p>
          <w:p w:rsidR="00000000" w:rsidRPr="00717B47" w:rsidP="00717B47">
            <w:pPr>
              <w:pStyle w:val="ListBullet"/>
            </w:pPr>
            <w:r w:rsidRPr="00717B47">
              <w:t>third party reports from supervisors</w:t>
            </w:r>
          </w:p>
          <w:p w:rsidR="00000000" w:rsidRPr="00717B47" w:rsidP="00717B47">
            <w:pPr>
              <w:pStyle w:val="ListBullet"/>
            </w:pPr>
            <w:r w:rsidRPr="00717B47">
              <w:t>written or oral questions</w:t>
            </w:r>
          </w:p>
        </w:tc>
      </w:tr>
    </w:tbl>
    <w:p w:rsidR="00000000" w:rsidRPr="00717B47" w:rsidP="00717B47">
      <w:pPr>
        <w:pStyle w:val="BodyText"/>
      </w:pPr>
    </w:p>
    <w:p w:rsidR="00000000" w:rsidRPr="00717B47" w:rsidP="00717B47">
      <w:pPr>
        <w:pStyle w:val="AllowPageBreak"/>
      </w:pPr>
    </w:p>
    <w:p w:rsidR="00000000" w:rsidRPr="00717B47" w:rsidP="00717B47">
      <w:pPr>
        <w:pStyle w:val="Heading1"/>
      </w:pPr>
      <w:bookmarkStart w:id="11" w:name="O_518466"/>
      <w:bookmarkEnd w:id="11"/>
      <w:r w:rsidRPr="00717B47">
        <w:t>Range Statement</w:t>
      </w:r>
    </w:p>
    <w:tbl>
      <w:tblPr>
        <w:tblW w:w="0" w:type="auto"/>
        <w:tblLayout w:type="fixed"/>
        <w:tblCellMar>
          <w:left w:w="62" w:type="dxa"/>
          <w:right w:w="62" w:type="dxa"/>
        </w:tblCellMar>
        <w:tblLook w:val="0000"/>
      </w:tblPr>
      <w:tblGrid>
        <w:gridCol w:w="3060"/>
        <w:gridCol w:w="5580"/>
      </w:tblGrid>
      <w:tr w:rsidTr="003315C2">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t xml:space="preserve">The Range Statement relates to the Unit of Competency as a whole. It allows for different work environments and situations that may affect performance. </w:t>
            </w:r>
            <w:r w:rsidRPr="00717B47">
              <w:rPr>
                <w:rStyle w:val="BoldandItalics"/>
              </w:rPr>
              <w:t>Bold italicised</w:t>
            </w:r>
            <w:r w:rsidRPr="00717B47">
              <w:t xml:space="preserve"> wording in the Performance Criteria is detailed below.</w:t>
            </w:r>
          </w:p>
        </w:tc>
      </w:tr>
      <w:tr w:rsidTr="003315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rPr>
                <w:rStyle w:val="BoldandItalics"/>
              </w:rPr>
              <w:t>Explosive ordnance inspections</w:t>
            </w:r>
            <w:r w:rsidRPr="00717B47">
              <w:t xml:space="preserve"> </w:t>
            </w:r>
            <w:r w:rsidRPr="00717B47">
              <w:t>may be conducted:</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B47" w:rsidP="00717B47">
            <w:pPr>
              <w:pStyle w:val="ListBullet"/>
            </w:pPr>
            <w:r w:rsidRPr="00717B47">
              <w:t>As part of a work program</w:t>
            </w:r>
          </w:p>
          <w:p w:rsidR="00000000" w:rsidRPr="00717B47" w:rsidP="00717B47">
            <w:pPr>
              <w:pStyle w:val="ListBullet"/>
            </w:pPr>
            <w:r w:rsidRPr="00717B47">
              <w:t>On direction</w:t>
            </w:r>
          </w:p>
          <w:p w:rsidR="00000000" w:rsidRPr="00717B47" w:rsidP="00717B47">
            <w:pPr>
              <w:pStyle w:val="ListBullet"/>
            </w:pPr>
            <w:r w:rsidRPr="00717B47">
              <w:t>On receipt</w:t>
            </w:r>
          </w:p>
          <w:p w:rsidR="00000000" w:rsidRPr="00717B47" w:rsidP="00717B47">
            <w:pPr>
              <w:pStyle w:val="ListBullet"/>
            </w:pPr>
            <w:r w:rsidRPr="00717B47">
              <w:t>Prior to maintenance</w:t>
            </w:r>
          </w:p>
          <w:p w:rsidR="00000000" w:rsidRPr="00717B47" w:rsidP="00717B47">
            <w:pPr>
              <w:pStyle w:val="ListBullet"/>
            </w:pPr>
            <w:r w:rsidRPr="00717B47">
              <w:t>Prior to or post any activity</w:t>
            </w:r>
          </w:p>
          <w:p w:rsidR="00000000" w:rsidP="00717B47">
            <w:pPr>
              <w:pStyle w:val="ListBullet"/>
              <w:rPr>
                <w:lang w:val="en-NZ"/>
              </w:rPr>
            </w:pPr>
            <w:r w:rsidRPr="00717B47">
              <w:t>And may include inspection to confirm free from explosives, the use of special measuring devices, gauges and locally patented tools</w:t>
            </w:r>
          </w:p>
        </w:tc>
      </w:tr>
      <w:tr w:rsidTr="003315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rPr>
                <w:rStyle w:val="BoldandItalics"/>
              </w:rPr>
              <w:t xml:space="preserve">Organisation </w:t>
            </w:r>
            <w:r w:rsidRPr="00717B4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B47" w:rsidP="00717B47">
            <w:pPr>
              <w:pStyle w:val="ListBullet"/>
            </w:pPr>
            <w:r w:rsidRPr="00717B47">
              <w:t>Defence organisation</w:t>
            </w:r>
          </w:p>
          <w:p w:rsidR="00000000" w:rsidRPr="00717B47" w:rsidP="00717B47">
            <w:pPr>
              <w:pStyle w:val="ListBullet"/>
            </w:pPr>
            <w:r w:rsidRPr="00717B47">
              <w:t>Enterprises that work with explosive ordnance</w:t>
            </w:r>
          </w:p>
          <w:p w:rsidR="00000000" w:rsidP="00717B47">
            <w:pPr>
              <w:pStyle w:val="ListBullet"/>
              <w:rPr>
                <w:lang w:val="en-NZ"/>
              </w:rPr>
            </w:pPr>
            <w:r w:rsidRPr="00717B47">
              <w:t>Other government departments or instrumentalities that work with explosive ordnance</w:t>
            </w:r>
          </w:p>
        </w:tc>
      </w:tr>
      <w:tr w:rsidTr="003315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rPr>
                <w:rStyle w:val="BoldandItalics"/>
              </w:rPr>
              <w:t>Technical references</w:t>
            </w:r>
            <w:r w:rsidRPr="00717B4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B47" w:rsidP="00717B47">
            <w:pPr>
              <w:pStyle w:val="ListBullet"/>
            </w:pPr>
            <w:r w:rsidRPr="00717B47">
              <w:t>Technical drawings</w:t>
            </w:r>
          </w:p>
          <w:p w:rsidR="00000000" w:rsidRPr="00717B47" w:rsidP="00717B47">
            <w:pPr>
              <w:pStyle w:val="ListBullet"/>
            </w:pPr>
            <w:r w:rsidRPr="00717B47">
              <w:t>Technical reference pam</w:t>
            </w:r>
            <w:r w:rsidRPr="00717B47">
              <w:t>phlets</w:t>
            </w:r>
          </w:p>
          <w:p w:rsidR="00000000" w:rsidRPr="00717B47" w:rsidP="00717B47">
            <w:pPr>
              <w:pStyle w:val="ListBullet"/>
            </w:pPr>
            <w:r w:rsidRPr="00717B47">
              <w:t>Orders and instructions</w:t>
            </w:r>
          </w:p>
          <w:p w:rsidR="00000000" w:rsidP="00717B47">
            <w:pPr>
              <w:pStyle w:val="ListBullet"/>
              <w:rPr>
                <w:lang w:val="en-NZ"/>
              </w:rPr>
            </w:pPr>
            <w:r w:rsidRPr="00717B47">
              <w:t>Other publications</w:t>
            </w:r>
          </w:p>
        </w:tc>
      </w:tr>
      <w:tr w:rsidTr="003315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rPr>
                <w:rStyle w:val="BoldandItalics"/>
              </w:rPr>
              <w:t>Net explosive quantities</w:t>
            </w:r>
            <w:r w:rsidRPr="00717B47">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ListBullet"/>
              <w:rPr>
                <w:lang w:val="en-NZ"/>
              </w:rPr>
            </w:pPr>
            <w:r w:rsidRPr="00717B47">
              <w:t>Explosive capacity calculated in a wide range of activities related to the storage, distribution and maintenance of explosive ordnance</w:t>
            </w:r>
          </w:p>
        </w:tc>
      </w:tr>
      <w:tr w:rsidTr="003315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rPr>
                <w:rStyle w:val="BoldandItalics"/>
              </w:rPr>
              <w:t xml:space="preserve">Compatibility </w:t>
            </w:r>
            <w:r w:rsidRPr="00717B47">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ListBullet"/>
              <w:rPr>
                <w:lang w:val="en-NZ"/>
              </w:rPr>
            </w:pPr>
            <w:r w:rsidRPr="00717B47">
              <w:t>Assessed in a wide range of activities related to the storage, distribution and maintenance of explosive ordnance and other hazardous materials</w:t>
            </w:r>
          </w:p>
        </w:tc>
      </w:tr>
      <w:tr w:rsidTr="003315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rPr>
                <w:rStyle w:val="BoldandItalics"/>
              </w:rPr>
              <w:t xml:space="preserve">Inspection </w:t>
            </w:r>
            <w:r w:rsidRPr="00717B47">
              <w:t>may result in explosive ordnance being:</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B47" w:rsidP="00717B47">
            <w:pPr>
              <w:pStyle w:val="ListBullet"/>
            </w:pPr>
            <w:r w:rsidRPr="00717B47">
              <w:t>Passed for use</w:t>
            </w:r>
          </w:p>
          <w:p w:rsidR="00000000" w:rsidRPr="00717B47" w:rsidP="00717B47">
            <w:pPr>
              <w:pStyle w:val="ListBullet"/>
            </w:pPr>
            <w:r w:rsidRPr="00717B47">
              <w:t>Recommended for sentencing</w:t>
            </w:r>
          </w:p>
          <w:p w:rsidR="00000000" w:rsidP="00717B47">
            <w:pPr>
              <w:pStyle w:val="ListBullet"/>
              <w:rPr>
                <w:lang w:val="en-NZ"/>
              </w:rPr>
            </w:pPr>
            <w:r w:rsidRPr="00717B47">
              <w:t>Rejected</w:t>
            </w:r>
          </w:p>
        </w:tc>
      </w:tr>
      <w:tr w:rsidTr="003315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rPr>
                <w:rStyle w:val="BoldandItalics"/>
              </w:rPr>
              <w:t>Explosi</w:t>
            </w:r>
            <w:r w:rsidRPr="00717B47">
              <w:rPr>
                <w:rStyle w:val="BoldandItalics"/>
              </w:rPr>
              <w:t>ve ordnance defects or damage</w:t>
            </w:r>
            <w:r w:rsidRPr="00717B4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B47" w:rsidP="00717B47">
            <w:pPr>
              <w:pStyle w:val="ListBullet"/>
            </w:pPr>
            <w:r w:rsidRPr="00717B47">
              <w:t>Non-compliance with technical specifications</w:t>
            </w:r>
          </w:p>
          <w:p w:rsidR="00000000" w:rsidRPr="00717B47" w:rsidP="00717B47">
            <w:pPr>
              <w:pStyle w:val="ListBullet"/>
            </w:pPr>
            <w:r w:rsidRPr="00717B47">
              <w:t>Corrosion</w:t>
            </w:r>
          </w:p>
          <w:p w:rsidR="00000000" w:rsidP="00717B47">
            <w:pPr>
              <w:pStyle w:val="ListBullet"/>
              <w:rPr>
                <w:lang w:val="en-NZ"/>
              </w:rPr>
            </w:pPr>
            <w:r w:rsidRPr="00717B47">
              <w:t>Surface damage</w:t>
            </w:r>
          </w:p>
        </w:tc>
      </w:tr>
      <w:tr w:rsidTr="003315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rPr>
                <w:rStyle w:val="BoldandItalics"/>
              </w:rPr>
              <w:t xml:space="preserve">Processing </w:t>
            </w:r>
            <w:r w:rsidRPr="00717B4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B47" w:rsidP="00717B47">
            <w:pPr>
              <w:pStyle w:val="ListBullet"/>
            </w:pPr>
            <w:r w:rsidRPr="00717B47">
              <w:t>Disposal, including:</w:t>
            </w:r>
          </w:p>
          <w:p w:rsidR="00000000" w:rsidRPr="00717B47" w:rsidP="00717B47">
            <w:pPr>
              <w:pStyle w:val="ListBullet"/>
            </w:pPr>
            <w:r w:rsidRPr="00717B47">
              <w:t>jettisoning</w:t>
            </w:r>
          </w:p>
          <w:p w:rsidR="00000000" w:rsidRPr="00717B47" w:rsidP="00717B47">
            <w:pPr>
              <w:pStyle w:val="ListBullet"/>
            </w:pPr>
            <w:r w:rsidRPr="00717B47">
              <w:t>ditching</w:t>
            </w:r>
          </w:p>
          <w:p w:rsidR="00000000" w:rsidRPr="00717B47" w:rsidP="00717B47">
            <w:pPr>
              <w:pStyle w:val="ListBullet"/>
            </w:pPr>
            <w:r w:rsidRPr="00717B47">
              <w:t>destruction</w:t>
            </w:r>
          </w:p>
          <w:p w:rsidR="00000000" w:rsidRPr="00717B47" w:rsidP="00717B47">
            <w:pPr>
              <w:pStyle w:val="ListBullet"/>
            </w:pPr>
            <w:r w:rsidRPr="00717B47">
              <w:t>restrictions on use</w:t>
            </w:r>
          </w:p>
          <w:p w:rsidR="00000000" w:rsidP="00717B47">
            <w:pPr>
              <w:pStyle w:val="ListBullet"/>
              <w:rPr>
                <w:lang w:val="en-NZ"/>
              </w:rPr>
            </w:pPr>
            <w:r w:rsidRPr="00717B47">
              <w:t>Retention for return or maintenance</w:t>
            </w:r>
          </w:p>
        </w:tc>
      </w:tr>
      <w:tr w:rsidTr="003315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B47">
            <w:pPr>
              <w:pStyle w:val="BodyText"/>
              <w:rPr>
                <w:lang w:val="en-NZ"/>
              </w:rPr>
            </w:pPr>
            <w:r w:rsidRPr="00717B47">
              <w:rPr>
                <w:rStyle w:val="BoldandItalics"/>
              </w:rPr>
              <w:t>Documentation and records</w:t>
            </w:r>
            <w:r w:rsidRPr="00717B4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B47" w:rsidP="00717B47">
            <w:pPr>
              <w:pStyle w:val="ListBullet"/>
            </w:pPr>
            <w:r w:rsidRPr="00717B47">
              <w:t>Receipt and issue records</w:t>
            </w:r>
          </w:p>
          <w:p w:rsidR="00000000" w:rsidRPr="00717B47" w:rsidP="00717B47">
            <w:pPr>
              <w:pStyle w:val="ListBullet"/>
            </w:pPr>
            <w:r w:rsidRPr="00717B47">
              <w:t>Timesheets</w:t>
            </w:r>
          </w:p>
          <w:p w:rsidR="00000000" w:rsidRPr="00717B47" w:rsidP="00717B47">
            <w:pPr>
              <w:pStyle w:val="ListBullet"/>
            </w:pPr>
            <w:r w:rsidRPr="00717B47">
              <w:t>Work records</w:t>
            </w:r>
          </w:p>
        </w:tc>
      </w:tr>
    </w:tbl>
    <w:p w:rsidR="00000000" w:rsidRPr="00717B47" w:rsidP="00717B47">
      <w:pPr>
        <w:pStyle w:val="BodyText"/>
      </w:pPr>
    </w:p>
    <w:p w:rsidR="00000000" w:rsidRPr="00717B47" w:rsidP="00717B47">
      <w:pPr>
        <w:pStyle w:val="AllowPageBreak"/>
      </w:pPr>
    </w:p>
    <w:p w:rsidR="00000000" w:rsidRPr="00717B47" w:rsidP="00717B47">
      <w:pPr>
        <w:pStyle w:val="Heading1"/>
      </w:pPr>
      <w:bookmarkStart w:id="12" w:name="O_518465"/>
      <w:bookmarkEnd w:id="12"/>
      <w:r w:rsidRPr="00717B47">
        <w:t>Unit Sector(s)</w:t>
      </w:r>
    </w:p>
    <w:p w:rsidR="00000000" w:rsidRPr="00717B47" w:rsidP="00717B47">
      <w:pPr>
        <w:pStyle w:val="BodyText"/>
      </w:pPr>
      <w:r w:rsidRPr="00717B47">
        <w:t>Not applicable.</w:t>
      </w:r>
    </w:p>
    <w:p w:rsidR="00000000" w:rsidRPr="00717B47" w:rsidP="00717B47"/>
    <w:sectPr w:rsidSect="00717B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47" w:rsidRPr="003315C2" w:rsidP="003315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5C2" w:rsidP="00717B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15C2" w:rsidP="00717B4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315C2" w:rsidP="00717B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47" w:rsidRPr="003315C2" w:rsidP="003315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5C2" w:rsidRPr="002D2AF8" w:rsidP="00717B47">
    <w:pPr>
      <w:pStyle w:val="Header"/>
      <w:framePr w:wrap="around"/>
    </w:pPr>
    <w:r>
      <w:fldChar w:fldCharType="begin"/>
    </w:r>
    <w:r>
      <w:instrText xml:space="preserve"> TITLE   \* MERGEFORMAT </w:instrText>
    </w:r>
    <w:r>
      <w:fldChar w:fldCharType="separate"/>
    </w:r>
    <w:r>
      <w:t>DEFEO501D Conduct explosive ordnance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3315C2" w:rsidP="00717B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1005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DA60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B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B47"/>
    <w:pPr>
      <w:spacing w:before="360" w:after="60"/>
      <w:outlineLvl w:val="0"/>
    </w:pPr>
    <w:rPr>
      <w:sz w:val="32"/>
    </w:rPr>
  </w:style>
  <w:style w:type="paragraph" w:styleId="Heading2">
    <w:name w:val="heading 2"/>
    <w:basedOn w:val="HeadingBase"/>
    <w:next w:val="BodyText"/>
    <w:link w:val="Heading2Char"/>
    <w:qFormat/>
    <w:rsid w:val="00717B47"/>
    <w:pPr>
      <w:keepLines/>
      <w:spacing w:before="240" w:after="120"/>
      <w:outlineLvl w:val="1"/>
    </w:pPr>
    <w:rPr>
      <w:sz w:val="28"/>
      <w:szCs w:val="40"/>
    </w:rPr>
  </w:style>
  <w:style w:type="paragraph" w:styleId="Heading3">
    <w:name w:val="heading 3"/>
    <w:basedOn w:val="HeadingBase"/>
    <w:next w:val="BodyText"/>
    <w:link w:val="Heading3Char"/>
    <w:qFormat/>
    <w:rsid w:val="00717B47"/>
    <w:pPr>
      <w:spacing w:before="180" w:after="120"/>
      <w:outlineLvl w:val="2"/>
    </w:pPr>
    <w:rPr>
      <w:spacing w:val="-10"/>
      <w:kern w:val="32"/>
    </w:rPr>
  </w:style>
  <w:style w:type="paragraph" w:styleId="Heading4">
    <w:name w:val="heading 4"/>
    <w:basedOn w:val="HeadingBase"/>
    <w:next w:val="BodyText"/>
    <w:link w:val="Heading4Char"/>
    <w:qFormat/>
    <w:rsid w:val="00717B47"/>
    <w:pPr>
      <w:spacing w:before="160" w:after="120"/>
      <w:outlineLvl w:val="3"/>
    </w:pPr>
    <w:rPr>
      <w:sz w:val="22"/>
    </w:rPr>
  </w:style>
  <w:style w:type="paragraph" w:styleId="Heading5">
    <w:name w:val="heading 5"/>
    <w:basedOn w:val="HeadingBase"/>
    <w:next w:val="Normal"/>
    <w:link w:val="Heading5Char"/>
    <w:qFormat/>
    <w:rsid w:val="00717B47"/>
    <w:pPr>
      <w:spacing w:before="80"/>
      <w:outlineLvl w:val="4"/>
    </w:pPr>
    <w:rPr>
      <w:color w:val="918585"/>
      <w:sz w:val="20"/>
    </w:rPr>
  </w:style>
  <w:style w:type="paragraph" w:styleId="Heading6">
    <w:name w:val="heading 6"/>
    <w:basedOn w:val="HeadingBase"/>
    <w:next w:val="Normal"/>
    <w:link w:val="Heading6Char"/>
    <w:qFormat/>
    <w:rsid w:val="00717B47"/>
    <w:pPr>
      <w:spacing w:before="60"/>
      <w:outlineLvl w:val="5"/>
    </w:pPr>
    <w:rPr>
      <w:color w:val="918585"/>
      <w:sz w:val="20"/>
    </w:rPr>
  </w:style>
  <w:style w:type="paragraph" w:styleId="Heading7">
    <w:name w:val="heading 7"/>
    <w:basedOn w:val="Normal"/>
    <w:next w:val="Normal"/>
    <w:link w:val="Heading7Char"/>
    <w:qFormat/>
    <w:rsid w:val="00717B47"/>
    <w:pPr>
      <w:ind w:left="720"/>
      <w:outlineLvl w:val="6"/>
    </w:pPr>
    <w:rPr>
      <w:i/>
    </w:rPr>
  </w:style>
  <w:style w:type="paragraph" w:styleId="Heading8">
    <w:name w:val="heading 8"/>
    <w:basedOn w:val="Normal"/>
    <w:next w:val="Normal"/>
    <w:link w:val="Heading8Char"/>
    <w:qFormat/>
    <w:rsid w:val="00717B47"/>
    <w:pPr>
      <w:ind w:left="720"/>
      <w:outlineLvl w:val="7"/>
    </w:pPr>
    <w:rPr>
      <w:i/>
    </w:rPr>
  </w:style>
  <w:style w:type="paragraph" w:styleId="Heading9">
    <w:name w:val="heading 9"/>
    <w:basedOn w:val="Normal"/>
    <w:next w:val="Normal"/>
    <w:link w:val="Heading9Char"/>
    <w:qFormat/>
    <w:rsid w:val="00717B47"/>
    <w:pPr>
      <w:ind w:left="720"/>
      <w:outlineLvl w:val="8"/>
    </w:pPr>
    <w:rPr>
      <w:i/>
    </w:rPr>
  </w:style>
  <w:style w:type="character" w:default="1" w:styleId="DefaultParagraphFont">
    <w:name w:val="Default Paragraph Font"/>
    <w:uiPriority w:val="1"/>
    <w:unhideWhenUsed/>
    <w:rsid w:val="00717B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B47"/>
  </w:style>
  <w:style w:type="character" w:customStyle="1" w:styleId="Heading1Char">
    <w:name w:val="Heading 1 Char"/>
    <w:basedOn w:val="DefaultParagraphFont"/>
    <w:link w:val="Heading1"/>
    <w:rsid w:val="00717B47"/>
    <w:rPr>
      <w:rFonts w:ascii="Times New Roman" w:eastAsia="Times New Roman" w:hAnsi="Times New Roman" w:cs="Times New Roman"/>
      <w:b/>
      <w:sz w:val="32"/>
      <w:szCs w:val="20"/>
      <w:lang w:eastAsia="en-US"/>
    </w:rPr>
  </w:style>
  <w:style w:type="paragraph" w:styleId="BodyText">
    <w:name w:val="Body Text"/>
    <w:basedOn w:val="Normal"/>
    <w:link w:val="BodyTextChar"/>
    <w:rsid w:val="00717B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B47"/>
    <w:rPr>
      <w:rFonts w:ascii="Times New Roman" w:eastAsia="Times New Roman" w:hAnsi="Times New Roman" w:cs="Times New Roman"/>
      <w:sz w:val="24"/>
      <w:lang w:eastAsia="en-US"/>
    </w:rPr>
  </w:style>
  <w:style w:type="paragraph" w:styleId="List">
    <w:name w:val="List"/>
    <w:basedOn w:val="BodyText"/>
    <w:next w:val="BodyText"/>
    <w:rsid w:val="00717B47"/>
    <w:pPr>
      <w:tabs>
        <w:tab w:val="left" w:pos="340"/>
      </w:tabs>
      <w:spacing w:before="60" w:after="60"/>
      <w:ind w:left="340" w:hanging="340"/>
    </w:pPr>
  </w:style>
  <w:style w:type="paragraph" w:styleId="ListBullet">
    <w:name w:val="List Bullet"/>
    <w:basedOn w:val="List"/>
    <w:rsid w:val="00717B47"/>
    <w:pPr>
      <w:numPr>
        <w:numId w:val="12"/>
      </w:numPr>
      <w:tabs>
        <w:tab w:val="clear" w:pos="340"/>
      </w:tabs>
      <w:spacing w:before="40" w:after="40"/>
    </w:pPr>
  </w:style>
  <w:style w:type="character" w:customStyle="1" w:styleId="SpecialBold">
    <w:name w:val="Special Bold"/>
    <w:basedOn w:val="DefaultParagraphFont"/>
    <w:rsid w:val="00717B47"/>
    <w:rPr>
      <w:b/>
      <w:spacing w:val="0"/>
    </w:rPr>
  </w:style>
  <w:style w:type="paragraph" w:customStyle="1" w:styleId="SuperHeading">
    <w:name w:val="SuperHeading"/>
    <w:basedOn w:val="Normal"/>
    <w:rsid w:val="00717B47"/>
    <w:pPr>
      <w:spacing w:before="240" w:after="120"/>
      <w:outlineLvl w:val="0"/>
    </w:pPr>
    <w:rPr>
      <w:rFonts w:ascii="Times New Roman" w:hAnsi="Times New Roman"/>
      <w:b/>
      <w:sz w:val="32"/>
    </w:rPr>
  </w:style>
  <w:style w:type="paragraph" w:customStyle="1" w:styleId="AllowPageBreak">
    <w:name w:val="AllowPageBreak"/>
    <w:rsid w:val="00717B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7B47"/>
    <w:rPr>
      <w:b/>
      <w:i/>
      <w:u w:val="none"/>
    </w:rPr>
  </w:style>
  <w:style w:type="character" w:customStyle="1" w:styleId="Heading2Char">
    <w:name w:val="Heading 2 Char"/>
    <w:basedOn w:val="DefaultParagraphFont"/>
    <w:link w:val="Heading2"/>
    <w:rsid w:val="00717B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B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B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B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B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B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B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B47"/>
    <w:rPr>
      <w:rFonts w:ascii="Courier New" w:eastAsia="Times New Roman" w:hAnsi="Courier New" w:cs="Times New Roman"/>
      <w:i/>
      <w:szCs w:val="20"/>
      <w:lang w:eastAsia="en-US"/>
    </w:rPr>
  </w:style>
  <w:style w:type="paragraph" w:customStyle="1" w:styleId="HeadingBase">
    <w:name w:val="Heading Base"/>
    <w:rsid w:val="00717B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B47"/>
    <w:pPr>
      <w:tabs>
        <w:tab w:val="right" w:leader="dot" w:pos="9072"/>
      </w:tabs>
      <w:ind w:left="567"/>
    </w:pPr>
    <w:rPr>
      <w:szCs w:val="22"/>
    </w:rPr>
  </w:style>
  <w:style w:type="paragraph" w:customStyle="1" w:styleId="TOCBase">
    <w:name w:val="TOC Base"/>
    <w:rsid w:val="00717B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B47"/>
    <w:pPr>
      <w:tabs>
        <w:tab w:val="right" w:leader="dot" w:pos="9072"/>
      </w:tabs>
      <w:spacing w:before="40" w:after="40"/>
      <w:ind w:left="284"/>
    </w:pPr>
    <w:rPr>
      <w:rFonts w:ascii="Times New Roman" w:hAnsi="Times New Roman"/>
    </w:rPr>
  </w:style>
  <w:style w:type="paragraph" w:styleId="TOC1">
    <w:name w:val="toc 1"/>
    <w:basedOn w:val="TOCBase"/>
    <w:next w:val="Normal"/>
    <w:rsid w:val="00717B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B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B47"/>
    <w:rPr>
      <w:rFonts w:ascii="Times New Roman" w:eastAsia="Times New Roman" w:hAnsi="Times New Roman" w:cs="Times New Roman"/>
      <w:sz w:val="16"/>
      <w:lang w:eastAsia="en-US"/>
    </w:rPr>
  </w:style>
  <w:style w:type="paragraph" w:styleId="Title">
    <w:name w:val="Title"/>
    <w:basedOn w:val="HeadingBase"/>
    <w:link w:val="TitleChar"/>
    <w:qFormat/>
    <w:rsid w:val="00717B47"/>
    <w:pPr>
      <w:spacing w:before="5040"/>
      <w:jc w:val="center"/>
    </w:pPr>
    <w:rPr>
      <w:sz w:val="48"/>
      <w:szCs w:val="72"/>
      <w:lang w:val="en-US"/>
    </w:rPr>
  </w:style>
  <w:style w:type="character" w:customStyle="1" w:styleId="TitleChar">
    <w:name w:val="Title Char"/>
    <w:basedOn w:val="DefaultParagraphFont"/>
    <w:link w:val="Title"/>
    <w:rsid w:val="00717B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B47"/>
    <w:pPr>
      <w:tabs>
        <w:tab w:val="left" w:pos="3600"/>
        <w:tab w:val="left" w:pos="3958"/>
      </w:tabs>
    </w:pPr>
  </w:style>
  <w:style w:type="paragraph" w:customStyle="1" w:styleId="Note">
    <w:name w:val="Note"/>
    <w:basedOn w:val="BodyText"/>
    <w:rsid w:val="00717B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B47"/>
    <w:pPr>
      <w:framePr w:wrap="auto" w:hAnchor="text" w:y="6049"/>
    </w:pPr>
    <w:rPr>
      <w:color w:val="000000"/>
      <w:sz w:val="40"/>
    </w:rPr>
  </w:style>
  <w:style w:type="paragraph" w:customStyle="1" w:styleId="TOCTitle">
    <w:name w:val="TOCTitle"/>
    <w:basedOn w:val="Heading1"/>
    <w:rsid w:val="00717B47"/>
    <w:pPr>
      <w:spacing w:after="240"/>
      <w:jc w:val="center"/>
      <w:outlineLvl w:val="9"/>
    </w:pPr>
    <w:rPr>
      <w:caps/>
    </w:rPr>
  </w:style>
  <w:style w:type="paragraph" w:customStyle="1" w:styleId="Version">
    <w:name w:val="Version"/>
    <w:rsid w:val="00717B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7B47"/>
    <w:pPr>
      <w:numPr>
        <w:numId w:val="13"/>
      </w:numPr>
      <w:tabs>
        <w:tab w:val="clear" w:pos="680"/>
      </w:tabs>
    </w:pPr>
  </w:style>
  <w:style w:type="paragraph" w:styleId="Index1">
    <w:name w:val="index 1"/>
    <w:basedOn w:val="Normal"/>
    <w:next w:val="Normal"/>
    <w:semiHidden/>
    <w:rsid w:val="00717B47"/>
    <w:pPr>
      <w:keepNext w:val="0"/>
      <w:tabs>
        <w:tab w:val="right" w:pos="4176"/>
      </w:tabs>
      <w:ind w:left="198" w:hanging="198"/>
    </w:pPr>
    <w:rPr>
      <w:rFonts w:ascii="Garamond" w:hAnsi="Garamond"/>
    </w:rPr>
  </w:style>
  <w:style w:type="paragraph" w:styleId="IndexHeading">
    <w:name w:val="index heading"/>
    <w:basedOn w:val="Normal"/>
    <w:next w:val="Index1"/>
    <w:semiHidden/>
    <w:rsid w:val="00717B47"/>
    <w:pPr>
      <w:spacing w:before="120" w:after="120"/>
    </w:pPr>
    <w:rPr>
      <w:rFonts w:ascii="Arial" w:hAnsi="Arial"/>
      <w:b/>
      <w:color w:val="918585"/>
      <w:sz w:val="24"/>
    </w:rPr>
  </w:style>
  <w:style w:type="paragraph" w:styleId="Header">
    <w:name w:val="header"/>
    <w:basedOn w:val="Normal"/>
    <w:link w:val="HeaderChar"/>
    <w:rsid w:val="00717B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B47"/>
    <w:rPr>
      <w:rFonts w:ascii="Times New Roman" w:eastAsia="Times New Roman" w:hAnsi="Times New Roman" w:cs="Times New Roman"/>
      <w:sz w:val="16"/>
      <w:szCs w:val="20"/>
      <w:lang w:val="en-GB" w:eastAsia="en-US"/>
    </w:rPr>
  </w:style>
  <w:style w:type="paragraph" w:customStyle="1" w:styleId="Chapter">
    <w:name w:val="Chapter"/>
    <w:basedOn w:val="Normal"/>
    <w:rsid w:val="00717B47"/>
    <w:pPr>
      <w:spacing w:before="240"/>
    </w:pPr>
    <w:rPr>
      <w:rFonts w:ascii="Times New Roman" w:hAnsi="Times New Roman"/>
      <w:smallCaps/>
      <w:spacing w:val="80"/>
      <w:sz w:val="28"/>
    </w:rPr>
  </w:style>
  <w:style w:type="paragraph" w:customStyle="1" w:styleId="InChapter">
    <w:name w:val="InChapter"/>
    <w:basedOn w:val="Heading3"/>
    <w:rsid w:val="00717B47"/>
    <w:pPr>
      <w:spacing w:after="240"/>
      <w:outlineLvl w:val="9"/>
    </w:pPr>
    <w:rPr>
      <w:noProof/>
    </w:rPr>
  </w:style>
  <w:style w:type="paragraph" w:styleId="Index2">
    <w:name w:val="index 2"/>
    <w:basedOn w:val="Normal"/>
    <w:next w:val="Normal"/>
    <w:semiHidden/>
    <w:rsid w:val="00717B47"/>
    <w:pPr>
      <w:tabs>
        <w:tab w:val="right" w:pos="4176"/>
      </w:tabs>
      <w:ind w:left="568" w:hanging="284"/>
    </w:pPr>
    <w:rPr>
      <w:rFonts w:ascii="Garamond" w:hAnsi="Garamond"/>
    </w:rPr>
  </w:style>
  <w:style w:type="paragraph" w:customStyle="1" w:styleId="Byline">
    <w:name w:val="Byline"/>
    <w:rsid w:val="00717B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B47"/>
    <w:pPr>
      <w:tabs>
        <w:tab w:val="clear" w:pos="3600"/>
        <w:tab w:val="clear" w:pos="3958"/>
      </w:tabs>
      <w:jc w:val="right"/>
    </w:pPr>
  </w:style>
  <w:style w:type="character" w:styleId="Emphasis">
    <w:name w:val="Emphasis"/>
    <w:basedOn w:val="DefaultParagraphFont"/>
    <w:qFormat/>
    <w:rsid w:val="00717B47"/>
    <w:rPr>
      <w:i/>
    </w:rPr>
  </w:style>
  <w:style w:type="paragraph" w:styleId="Caption">
    <w:name w:val="caption"/>
    <w:basedOn w:val="BodyText"/>
    <w:next w:val="Normal"/>
    <w:qFormat/>
    <w:rsid w:val="00717B47"/>
    <w:pPr>
      <w:framePr w:w="2268" w:hSpace="181" w:vSpace="181" w:wrap="around" w:vAnchor="text" w:hAnchor="page" w:x="1135" w:y="285" w:anchorLock="1"/>
    </w:pPr>
    <w:rPr>
      <w:i/>
    </w:rPr>
  </w:style>
  <w:style w:type="paragraph" w:customStyle="1" w:styleId="MiniTOCTitle">
    <w:name w:val="MiniTOCTitle"/>
    <w:basedOn w:val="Heading4"/>
    <w:rsid w:val="00717B47"/>
    <w:pPr>
      <w:spacing w:before="240"/>
      <w:outlineLvl w:val="9"/>
    </w:pPr>
    <w:rPr>
      <w:noProof/>
      <w:sz w:val="24"/>
    </w:rPr>
  </w:style>
  <w:style w:type="paragraph" w:customStyle="1" w:styleId="MiniTOCItem">
    <w:name w:val="MiniTOCItem"/>
    <w:basedOn w:val="ListBullet"/>
    <w:rsid w:val="00717B47"/>
    <w:pPr>
      <w:numPr>
        <w:numId w:val="0"/>
      </w:numPr>
      <w:tabs>
        <w:tab w:val="right" w:leader="dot" w:pos="6521"/>
      </w:tabs>
      <w:spacing w:before="0" w:after="0"/>
    </w:pPr>
  </w:style>
  <w:style w:type="paragraph" w:customStyle="1" w:styleId="TOFTitle">
    <w:name w:val="TOFTitle"/>
    <w:basedOn w:val="TOCTitle"/>
    <w:rsid w:val="00717B47"/>
  </w:style>
  <w:style w:type="paragraph" w:styleId="TableofFigures">
    <w:name w:val="table of figures"/>
    <w:basedOn w:val="Normal"/>
    <w:next w:val="Normal"/>
    <w:semiHidden/>
    <w:rsid w:val="00717B47"/>
    <w:pPr>
      <w:tabs>
        <w:tab w:val="right" w:leader="dot" w:pos="9072"/>
      </w:tabs>
      <w:ind w:left="970" w:hanging="403"/>
    </w:pPr>
    <w:rPr>
      <w:rFonts w:ascii="Times New Roman" w:hAnsi="Times New Roman"/>
      <w:b/>
    </w:rPr>
  </w:style>
  <w:style w:type="paragraph" w:styleId="ListNumber">
    <w:name w:val="List Number"/>
    <w:basedOn w:val="List"/>
    <w:rsid w:val="00717B47"/>
    <w:pPr>
      <w:numPr>
        <w:numId w:val="10"/>
      </w:numPr>
    </w:pPr>
  </w:style>
  <w:style w:type="character" w:customStyle="1" w:styleId="WingdingSymbols">
    <w:name w:val="Wingding Symbols"/>
    <w:rsid w:val="00717B47"/>
    <w:rPr>
      <w:rFonts w:ascii="Wingdings" w:hAnsi="Wingdings"/>
    </w:rPr>
  </w:style>
  <w:style w:type="paragraph" w:customStyle="1" w:styleId="TableHeading">
    <w:name w:val="Table Heading"/>
    <w:basedOn w:val="HeadingBase"/>
    <w:rsid w:val="00717B47"/>
    <w:pPr>
      <w:keepLines/>
      <w:pBdr>
        <w:bottom w:val="single" w:sz="6" w:space="1" w:color="918585"/>
      </w:pBdr>
      <w:spacing w:before="240"/>
    </w:pPr>
  </w:style>
  <w:style w:type="character" w:customStyle="1" w:styleId="HotSpot">
    <w:name w:val="HotSpot"/>
    <w:rsid w:val="00717B47"/>
    <w:rPr>
      <w:color w:val="0033CC"/>
      <w:u w:val="none"/>
    </w:rPr>
  </w:style>
  <w:style w:type="paragraph" w:customStyle="1" w:styleId="BodyTextRight">
    <w:name w:val="Body Text Right"/>
    <w:basedOn w:val="BodyText"/>
    <w:rsid w:val="00717B47"/>
    <w:pPr>
      <w:spacing w:before="0" w:after="0"/>
      <w:jc w:val="right"/>
    </w:pPr>
  </w:style>
  <w:style w:type="paragraph" w:styleId="Index3">
    <w:name w:val="index 3"/>
    <w:basedOn w:val="ListNumber2"/>
    <w:next w:val="Normal"/>
    <w:semiHidden/>
    <w:rsid w:val="00717B47"/>
    <w:pPr>
      <w:numPr>
        <w:numId w:val="0"/>
      </w:numPr>
      <w:tabs>
        <w:tab w:val="right" w:leader="dot" w:pos="4176"/>
      </w:tabs>
    </w:pPr>
  </w:style>
  <w:style w:type="paragraph" w:styleId="ListNumber2">
    <w:name w:val="List Number 2"/>
    <w:basedOn w:val="List2"/>
    <w:rsid w:val="00717B47"/>
    <w:pPr>
      <w:numPr>
        <w:numId w:val="9"/>
      </w:numPr>
      <w:tabs>
        <w:tab w:val="clear" w:pos="1060"/>
      </w:tabs>
    </w:pPr>
  </w:style>
  <w:style w:type="paragraph" w:customStyle="1" w:styleId="MarginNote">
    <w:name w:val="Margin Note"/>
    <w:basedOn w:val="BodyText"/>
    <w:rsid w:val="00717B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B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B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B47"/>
    <w:rPr>
      <w:sz w:val="32"/>
    </w:rPr>
  </w:style>
  <w:style w:type="paragraph" w:customStyle="1" w:styleId="HeadingProcedure">
    <w:name w:val="Heading Procedure"/>
    <w:basedOn w:val="HeadingBase"/>
    <w:next w:val="Normal"/>
    <w:rsid w:val="00717B47"/>
    <w:pPr>
      <w:tabs>
        <w:tab w:val="left" w:pos="0"/>
      </w:tabs>
      <w:spacing w:before="120" w:after="60"/>
    </w:pPr>
    <w:rPr>
      <w:i/>
      <w:color w:val="918585"/>
      <w:sz w:val="22"/>
    </w:rPr>
  </w:style>
  <w:style w:type="paragraph" w:customStyle="1" w:styleId="TableBodyText">
    <w:name w:val="Table Body Text"/>
    <w:basedOn w:val="BodyText"/>
    <w:rsid w:val="00717B47"/>
    <w:pPr>
      <w:spacing w:before="60" w:after="60"/>
    </w:pPr>
  </w:style>
  <w:style w:type="paragraph" w:styleId="ListContinue">
    <w:name w:val="List Continue"/>
    <w:basedOn w:val="List"/>
    <w:rsid w:val="00717B47"/>
    <w:pPr>
      <w:ind w:firstLine="0"/>
    </w:pPr>
  </w:style>
  <w:style w:type="paragraph" w:customStyle="1" w:styleId="ListNote">
    <w:name w:val="List Note"/>
    <w:basedOn w:val="List"/>
    <w:rsid w:val="00717B47"/>
    <w:pPr>
      <w:pBdr>
        <w:top w:val="single" w:sz="6" w:space="2" w:color="918585"/>
        <w:bottom w:val="single" w:sz="6" w:space="2" w:color="918585"/>
      </w:pBdr>
      <w:tabs>
        <w:tab w:val="left" w:pos="1021"/>
      </w:tabs>
      <w:ind w:firstLine="0"/>
    </w:pPr>
  </w:style>
  <w:style w:type="paragraph" w:customStyle="1" w:styleId="Warning">
    <w:name w:val="Warning"/>
    <w:basedOn w:val="BodyText"/>
    <w:rsid w:val="00717B47"/>
    <w:pPr>
      <w:shd w:val="clear" w:color="auto" w:fill="D9D9D9"/>
      <w:tabs>
        <w:tab w:val="left" w:pos="992"/>
      </w:tabs>
      <w:ind w:left="119" w:right="119"/>
    </w:pPr>
    <w:rPr>
      <w:sz w:val="20"/>
    </w:rPr>
  </w:style>
  <w:style w:type="paragraph" w:customStyle="1" w:styleId="MarginIcons">
    <w:name w:val="Margin Icons"/>
    <w:basedOn w:val="BodyText"/>
    <w:rsid w:val="00717B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B47"/>
    <w:rPr>
      <w:rFonts w:ascii="Courier New" w:hAnsi="Courier New"/>
    </w:rPr>
  </w:style>
  <w:style w:type="paragraph" w:customStyle="1" w:styleId="NoteBullet">
    <w:name w:val="Note Bullet"/>
    <w:basedOn w:val="Note"/>
    <w:rsid w:val="00717B47"/>
    <w:pPr>
      <w:tabs>
        <w:tab w:val="clear" w:pos="680"/>
      </w:tabs>
      <w:spacing w:before="60" w:after="60"/>
    </w:pPr>
  </w:style>
  <w:style w:type="paragraph" w:customStyle="1" w:styleId="SubHeading2">
    <w:name w:val="SubHeading2"/>
    <w:basedOn w:val="HeadingBase"/>
    <w:rsid w:val="00717B47"/>
    <w:pPr>
      <w:spacing w:before="240" w:after="60"/>
    </w:pPr>
    <w:rPr>
      <w:sz w:val="20"/>
    </w:rPr>
  </w:style>
  <w:style w:type="paragraph" w:customStyle="1" w:styleId="SubHeading1">
    <w:name w:val="SubHeading1"/>
    <w:basedOn w:val="HeadingBase"/>
    <w:rsid w:val="00717B47"/>
    <w:pPr>
      <w:spacing w:before="240" w:after="60"/>
    </w:pPr>
    <w:rPr>
      <w:color w:val="918585"/>
      <w:sz w:val="22"/>
    </w:rPr>
  </w:style>
  <w:style w:type="paragraph" w:customStyle="1" w:styleId="SideHeading">
    <w:name w:val="Side Heading"/>
    <w:basedOn w:val="HeadingBase"/>
    <w:rsid w:val="00717B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B47"/>
    <w:pPr>
      <w:tabs>
        <w:tab w:val="num" w:pos="360"/>
      </w:tabs>
    </w:pPr>
  </w:style>
  <w:style w:type="paragraph" w:styleId="PlainText">
    <w:name w:val="Plain Text"/>
    <w:basedOn w:val="Normal"/>
    <w:link w:val="PlainTextChar"/>
    <w:rsid w:val="00717B47"/>
    <w:rPr>
      <w:sz w:val="20"/>
    </w:rPr>
  </w:style>
  <w:style w:type="character" w:customStyle="1" w:styleId="PlainTextChar">
    <w:name w:val="Plain Text Char"/>
    <w:basedOn w:val="DefaultParagraphFont"/>
    <w:link w:val="PlainText"/>
    <w:rsid w:val="00717B47"/>
    <w:rPr>
      <w:rFonts w:ascii="Courier New" w:eastAsia="Times New Roman" w:hAnsi="Courier New" w:cs="Times New Roman"/>
      <w:sz w:val="20"/>
      <w:szCs w:val="20"/>
      <w:lang w:eastAsia="en-US"/>
    </w:rPr>
  </w:style>
  <w:style w:type="character" w:customStyle="1" w:styleId="MenuOption">
    <w:name w:val="Menu Option"/>
    <w:basedOn w:val="DefaultParagraphFont"/>
    <w:rsid w:val="00717B47"/>
    <w:rPr>
      <w:b/>
      <w:smallCaps/>
    </w:rPr>
  </w:style>
  <w:style w:type="paragraph" w:customStyle="1" w:styleId="TableListNumber">
    <w:name w:val="Table List Number"/>
    <w:basedOn w:val="ListNumber"/>
    <w:rsid w:val="00717B47"/>
    <w:pPr>
      <w:numPr>
        <w:numId w:val="0"/>
      </w:numPr>
    </w:pPr>
  </w:style>
  <w:style w:type="paragraph" w:styleId="TOC4">
    <w:name w:val="toc 4"/>
    <w:basedOn w:val="TOCBase"/>
    <w:next w:val="Normal"/>
    <w:semiHidden/>
    <w:rsid w:val="00717B47"/>
    <w:pPr>
      <w:tabs>
        <w:tab w:val="right" w:leader="dot" w:pos="9071"/>
      </w:tabs>
      <w:ind w:left="1701"/>
    </w:pPr>
  </w:style>
  <w:style w:type="paragraph" w:customStyle="1" w:styleId="ListAlpha">
    <w:name w:val="List Alpha"/>
    <w:basedOn w:val="List"/>
    <w:rsid w:val="00717B47"/>
    <w:pPr>
      <w:numPr>
        <w:numId w:val="8"/>
      </w:numPr>
    </w:pPr>
  </w:style>
  <w:style w:type="paragraph" w:customStyle="1" w:styleId="ListAlpha2">
    <w:name w:val="List Alpha 2"/>
    <w:basedOn w:val="List2"/>
    <w:rsid w:val="00717B47"/>
    <w:pPr>
      <w:numPr>
        <w:numId w:val="7"/>
      </w:numPr>
    </w:pPr>
  </w:style>
  <w:style w:type="paragraph" w:styleId="List2">
    <w:name w:val="List 2"/>
    <w:basedOn w:val="BodyText"/>
    <w:rsid w:val="00717B47"/>
    <w:pPr>
      <w:tabs>
        <w:tab w:val="left" w:pos="680"/>
      </w:tabs>
      <w:spacing w:before="60" w:after="60"/>
      <w:ind w:left="680" w:hanging="340"/>
    </w:pPr>
  </w:style>
  <w:style w:type="paragraph" w:styleId="List3">
    <w:name w:val="List 3"/>
    <w:basedOn w:val="BodyText"/>
    <w:rsid w:val="00717B47"/>
    <w:pPr>
      <w:tabs>
        <w:tab w:val="left" w:pos="1021"/>
      </w:tabs>
      <w:spacing w:before="60" w:after="60"/>
      <w:ind w:left="1020" w:hanging="340"/>
    </w:pPr>
  </w:style>
  <w:style w:type="paragraph" w:styleId="List4">
    <w:name w:val="List 4"/>
    <w:basedOn w:val="BodyText"/>
    <w:rsid w:val="00717B47"/>
    <w:pPr>
      <w:tabs>
        <w:tab w:val="left" w:pos="1361"/>
      </w:tabs>
      <w:spacing w:before="60" w:after="60"/>
      <w:ind w:left="1361" w:hanging="340"/>
    </w:pPr>
  </w:style>
  <w:style w:type="paragraph" w:styleId="List5">
    <w:name w:val="List 5"/>
    <w:basedOn w:val="BodyText"/>
    <w:rsid w:val="00717B47"/>
    <w:pPr>
      <w:tabs>
        <w:tab w:val="left" w:pos="1701"/>
      </w:tabs>
      <w:spacing w:before="60" w:after="60"/>
      <w:ind w:left="1701" w:hanging="340"/>
    </w:pPr>
  </w:style>
  <w:style w:type="paragraph" w:styleId="ListBullet3">
    <w:name w:val="List Bullet 3"/>
    <w:basedOn w:val="List3"/>
    <w:rsid w:val="00717B47"/>
    <w:pPr>
      <w:numPr>
        <w:numId w:val="14"/>
      </w:numPr>
      <w:tabs>
        <w:tab w:val="clear" w:pos="1021"/>
      </w:tabs>
      <w:ind w:left="1037" w:hanging="357"/>
    </w:pPr>
  </w:style>
  <w:style w:type="paragraph" w:styleId="ListBullet4">
    <w:name w:val="List Bullet 4"/>
    <w:basedOn w:val="List4"/>
    <w:rsid w:val="00717B47"/>
    <w:pPr>
      <w:numPr>
        <w:numId w:val="2"/>
      </w:numPr>
    </w:pPr>
  </w:style>
  <w:style w:type="paragraph" w:styleId="ListBullet5">
    <w:name w:val="List Bullet 5"/>
    <w:basedOn w:val="List5"/>
    <w:rsid w:val="00717B47"/>
    <w:pPr>
      <w:numPr>
        <w:numId w:val="3"/>
      </w:numPr>
    </w:pPr>
  </w:style>
  <w:style w:type="paragraph" w:styleId="ListContinue2">
    <w:name w:val="List Continue 2"/>
    <w:basedOn w:val="List2"/>
    <w:rsid w:val="00717B47"/>
    <w:pPr>
      <w:ind w:firstLine="0"/>
    </w:pPr>
  </w:style>
  <w:style w:type="paragraph" w:styleId="ListContinue3">
    <w:name w:val="List Continue 3"/>
    <w:basedOn w:val="List3"/>
    <w:rsid w:val="00717B47"/>
    <w:pPr>
      <w:ind w:left="1021" w:firstLine="0"/>
    </w:pPr>
  </w:style>
  <w:style w:type="paragraph" w:styleId="ListContinue4">
    <w:name w:val="List Continue 4"/>
    <w:basedOn w:val="List4"/>
    <w:rsid w:val="00717B47"/>
    <w:pPr>
      <w:ind w:firstLine="0"/>
    </w:pPr>
  </w:style>
  <w:style w:type="paragraph" w:styleId="ListContinue5">
    <w:name w:val="List Continue 5"/>
    <w:basedOn w:val="List5"/>
    <w:rsid w:val="00717B47"/>
    <w:pPr>
      <w:ind w:firstLine="0"/>
    </w:pPr>
  </w:style>
  <w:style w:type="paragraph" w:styleId="ListNumber3">
    <w:name w:val="List Number 3"/>
    <w:basedOn w:val="List3"/>
    <w:rsid w:val="00717B47"/>
    <w:pPr>
      <w:numPr>
        <w:numId w:val="4"/>
      </w:numPr>
    </w:pPr>
  </w:style>
  <w:style w:type="paragraph" w:styleId="ListNumber4">
    <w:name w:val="List Number 4"/>
    <w:basedOn w:val="List4"/>
    <w:rsid w:val="00717B47"/>
    <w:pPr>
      <w:numPr>
        <w:numId w:val="5"/>
      </w:numPr>
    </w:pPr>
  </w:style>
  <w:style w:type="paragraph" w:styleId="ListNumber5">
    <w:name w:val="List Number 5"/>
    <w:basedOn w:val="List5"/>
    <w:rsid w:val="00717B47"/>
    <w:pPr>
      <w:numPr>
        <w:numId w:val="6"/>
      </w:numPr>
    </w:pPr>
  </w:style>
  <w:style w:type="paragraph" w:styleId="BlockText">
    <w:name w:val="Block Text"/>
    <w:basedOn w:val="Normal"/>
    <w:rsid w:val="00717B47"/>
    <w:pPr>
      <w:spacing w:after="120"/>
      <w:ind w:left="1440" w:right="1440"/>
    </w:pPr>
  </w:style>
  <w:style w:type="character" w:customStyle="1" w:styleId="Subscript">
    <w:name w:val="Subscript"/>
    <w:basedOn w:val="DefaultParagraphFont"/>
    <w:rsid w:val="00717B47"/>
    <w:rPr>
      <w:sz w:val="16"/>
      <w:vertAlign w:val="subscript"/>
    </w:rPr>
  </w:style>
  <w:style w:type="character" w:customStyle="1" w:styleId="Superscript">
    <w:name w:val="Superscript"/>
    <w:basedOn w:val="DefaultParagraphFont"/>
    <w:rsid w:val="00717B47"/>
    <w:rPr>
      <w:sz w:val="16"/>
      <w:vertAlign w:val="superscript"/>
    </w:rPr>
  </w:style>
  <w:style w:type="character" w:customStyle="1" w:styleId="Symbols">
    <w:name w:val="Symbols"/>
    <w:basedOn w:val="DefaultParagraphFont"/>
    <w:rsid w:val="00717B47"/>
    <w:rPr>
      <w:rFonts w:ascii="Symbol" w:hAnsi="Symbol"/>
    </w:rPr>
  </w:style>
  <w:style w:type="character" w:customStyle="1" w:styleId="MenuOptions">
    <w:name w:val="Menu Options"/>
    <w:basedOn w:val="DefaultParagraphFont"/>
    <w:rsid w:val="00717B47"/>
    <w:rPr>
      <w:rFonts w:ascii="Arial Narrow" w:hAnsi="Arial Narrow"/>
      <w:smallCaps/>
    </w:rPr>
  </w:style>
  <w:style w:type="character" w:customStyle="1" w:styleId="Buttons">
    <w:name w:val="Buttons"/>
    <w:basedOn w:val="DefaultParagraphFont"/>
    <w:rsid w:val="00717B47"/>
    <w:rPr>
      <w:b/>
    </w:rPr>
  </w:style>
  <w:style w:type="character" w:customStyle="1" w:styleId="Underlined">
    <w:name w:val="Underlined"/>
    <w:basedOn w:val="DefaultParagraphFont"/>
    <w:rsid w:val="00717B47"/>
    <w:rPr>
      <w:u w:val="single"/>
    </w:rPr>
  </w:style>
  <w:style w:type="paragraph" w:customStyle="1" w:styleId="TableBodyTextRight">
    <w:name w:val="Table Body Text Right"/>
    <w:basedOn w:val="TableBodyText"/>
    <w:rsid w:val="00717B47"/>
    <w:pPr>
      <w:widowControl w:val="0"/>
      <w:autoSpaceDE w:val="0"/>
      <w:autoSpaceDN w:val="0"/>
      <w:adjustRightInd w:val="0"/>
      <w:jc w:val="right"/>
    </w:pPr>
    <w:rPr>
      <w:rFonts w:cs="Arial"/>
      <w:szCs w:val="18"/>
    </w:rPr>
  </w:style>
  <w:style w:type="paragraph" w:customStyle="1" w:styleId="CopyrightText">
    <w:name w:val="Copyright Text"/>
    <w:basedOn w:val="BodyText"/>
    <w:rsid w:val="00717B47"/>
    <w:rPr>
      <w:sz w:val="18"/>
    </w:rPr>
  </w:style>
  <w:style w:type="paragraph" w:customStyle="1" w:styleId="BodySmallRight">
    <w:name w:val="Body Small Right"/>
    <w:basedOn w:val="BodyTextRight"/>
    <w:rsid w:val="00717B47"/>
    <w:rPr>
      <w:sz w:val="18"/>
      <w:szCs w:val="18"/>
    </w:rPr>
  </w:style>
  <w:style w:type="paragraph" w:customStyle="1" w:styleId="MarginEdition">
    <w:name w:val="Margin Edition"/>
    <w:basedOn w:val="MarginNote"/>
    <w:rsid w:val="00717B47"/>
    <w:pPr>
      <w:spacing w:before="0" w:after="0"/>
    </w:pPr>
    <w:rPr>
      <w:rFonts w:ascii="Times New Roman" w:hAnsi="Times New Roman"/>
      <w:color w:val="999999"/>
    </w:rPr>
  </w:style>
  <w:style w:type="paragraph" w:customStyle="1" w:styleId="Spacer">
    <w:name w:val="Spacer"/>
    <w:basedOn w:val="Normal"/>
    <w:rsid w:val="00717B47"/>
    <w:rPr>
      <w:sz w:val="2"/>
      <w:szCs w:val="2"/>
    </w:rPr>
  </w:style>
  <w:style w:type="character" w:customStyle="1" w:styleId="Small">
    <w:name w:val="Small"/>
    <w:basedOn w:val="DefaultParagraphFont"/>
    <w:rsid w:val="00717B47"/>
    <w:rPr>
      <w:sz w:val="16"/>
    </w:rPr>
  </w:style>
  <w:style w:type="paragraph" w:customStyle="1" w:styleId="WideTable">
    <w:name w:val="Wide Table"/>
    <w:basedOn w:val="Normal"/>
    <w:rsid w:val="00717B47"/>
    <w:pPr>
      <w:ind w:left="-1418"/>
    </w:pPr>
    <w:rPr>
      <w:sz w:val="2"/>
      <w:szCs w:val="2"/>
    </w:rPr>
  </w:style>
  <w:style w:type="character" w:styleId="PageNumber">
    <w:name w:val="page number"/>
    <w:basedOn w:val="DefaultParagraphFont"/>
    <w:rsid w:val="00717B47"/>
  </w:style>
  <w:style w:type="paragraph" w:styleId="Quote">
    <w:name w:val="Quote"/>
    <w:basedOn w:val="Heading1"/>
    <w:link w:val="QuoteChar"/>
    <w:qFormat/>
    <w:rsid w:val="00717B47"/>
    <w:rPr>
      <w:b w:val="0"/>
      <w:sz w:val="72"/>
      <w:szCs w:val="72"/>
      <w:lang w:val="en-NZ"/>
    </w:rPr>
  </w:style>
  <w:style w:type="character" w:customStyle="1" w:styleId="QuoteChar">
    <w:name w:val="Quote Char"/>
    <w:basedOn w:val="DefaultParagraphFont"/>
    <w:link w:val="Quote"/>
    <w:rsid w:val="00717B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B47"/>
    <w:pPr>
      <w:pageBreakBefore/>
    </w:pPr>
  </w:style>
  <w:style w:type="paragraph" w:customStyle="1" w:styleId="Border">
    <w:name w:val="Border"/>
    <w:basedOn w:val="Normal"/>
    <w:qFormat/>
    <w:rsid w:val="00717B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B47"/>
    <w:rPr>
      <w:b/>
      <w:bCs/>
      <w:i/>
      <w:iCs/>
      <w:color w:val="auto"/>
    </w:rPr>
  </w:style>
  <w:style w:type="paragraph" w:styleId="IntenseQuote">
    <w:name w:val="Intense Quote"/>
    <w:basedOn w:val="Normal"/>
    <w:next w:val="Normal"/>
    <w:link w:val="IntenseQuoteChar"/>
    <w:uiPriority w:val="30"/>
    <w:qFormat/>
    <w:rsid w:val="00717B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B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B47"/>
    <w:rPr>
      <w:smallCaps/>
      <w:color w:val="auto"/>
      <w:u w:val="single"/>
    </w:rPr>
  </w:style>
  <w:style w:type="character" w:styleId="IntenseReference">
    <w:name w:val="Intense Reference"/>
    <w:basedOn w:val="DefaultParagraphFont"/>
    <w:uiPriority w:val="32"/>
    <w:qFormat/>
    <w:rsid w:val="00717B47"/>
    <w:rPr>
      <w:b/>
      <w:bCs/>
      <w:smallCaps/>
      <w:color w:val="auto"/>
      <w:spacing w:val="5"/>
      <w:u w:val="single"/>
    </w:rPr>
  </w:style>
  <w:style w:type="paragraph" w:customStyle="1" w:styleId="2ColumnHeading">
    <w:name w:val="2Column Heading"/>
    <w:basedOn w:val="BodyText"/>
    <w:qFormat/>
    <w:rsid w:val="00717B47"/>
    <w:pPr>
      <w:spacing w:after="60"/>
      <w:ind w:left="-2268"/>
    </w:pPr>
    <w:rPr>
      <w:b/>
    </w:rPr>
  </w:style>
  <w:style w:type="paragraph" w:customStyle="1" w:styleId="Heading1TOC">
    <w:name w:val="Heading1 TOC"/>
    <w:basedOn w:val="Normal"/>
    <w:qFormat/>
    <w:rsid w:val="00717B47"/>
    <w:pPr>
      <w:spacing w:before="240" w:after="120"/>
    </w:pPr>
    <w:rPr>
      <w:rFonts w:ascii="Times New Roman" w:hAnsi="Times New Roman"/>
      <w:b/>
      <w:sz w:val="32"/>
    </w:rPr>
  </w:style>
  <w:style w:type="paragraph" w:customStyle="1" w:styleId="Heading2TOC">
    <w:name w:val="Heading2 TOC"/>
    <w:basedOn w:val="Normal"/>
    <w:qFormat/>
    <w:rsid w:val="00717B47"/>
    <w:pPr>
      <w:spacing w:before="240" w:after="60"/>
    </w:pPr>
    <w:rPr>
      <w:rFonts w:ascii="Times New Roman" w:hAnsi="Times New Roman"/>
      <w:b/>
      <w:sz w:val="28"/>
    </w:rPr>
  </w:style>
  <w:style w:type="character" w:customStyle="1" w:styleId="Underline">
    <w:name w:val="Underline"/>
    <w:basedOn w:val="DefaultParagraphFont"/>
    <w:qFormat/>
    <w:rsid w:val="00717B47"/>
    <w:rPr>
      <w:u w:val="single"/>
    </w:rPr>
  </w:style>
  <w:style w:type="paragraph" w:styleId="BalloonText">
    <w:name w:val="Balloon Text"/>
    <w:basedOn w:val="Normal"/>
    <w:link w:val="BalloonTextChar"/>
    <w:rsid w:val="00717B47"/>
    <w:rPr>
      <w:rFonts w:ascii="Tahoma" w:hAnsi="Tahoma" w:cs="Tahoma"/>
      <w:sz w:val="16"/>
      <w:szCs w:val="16"/>
    </w:rPr>
  </w:style>
  <w:style w:type="character" w:customStyle="1" w:styleId="BalloonTextChar">
    <w:name w:val="Balloon Text Char"/>
    <w:basedOn w:val="DefaultParagraphFont"/>
    <w:link w:val="BalloonText"/>
    <w:rsid w:val="00717B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B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B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B47"/>
    <w:rPr>
      <w:b/>
      <w:color w:val="660033"/>
      <w:spacing w:val="0"/>
    </w:rPr>
  </w:style>
  <w:style w:type="paragraph" w:customStyle="1" w:styleId="Nameditemlist">
    <w:name w:val="Named item list"/>
    <w:basedOn w:val="BodyText"/>
    <w:qFormat/>
    <w:rsid w:val="00717B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957</Words>
  <Characters>6142</Characters>
  <Application>Microsoft Office Word</Application>
  <DocSecurity>0</DocSecurity>
  <Lines>220</Lines>
  <Paragraphs>133</Paragraphs>
  <ScaleCrop>false</ScaleCrop>
  <Company>Author-it Software Corporation Ltd.</Company>
  <LinksUpToDate>false</LinksUpToDate>
  <CharactersWithSpaces>7027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DEFEO501D Conduct explosive ordnance inspection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2013-01-25T17:22:00Z</dcterms:created>
  <dcterms:modified xsi:type="dcterms:W3CDTF">2013-01-25T17:22:00Z</dcterms:modified>
</cp:coreProperties>
</file>