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1FB" w:rsidP="002861FB">
      <w:pPr>
        <w:pStyle w:val="Title"/>
      </w:pPr>
      <w:r>
        <w:fldChar w:fldCharType="begin"/>
      </w:r>
      <w:r>
        <w:instrText xml:space="preserve"> TITLE   \* MERGEFORMAT </w:instrText>
      </w:r>
      <w:r>
        <w:fldChar w:fldCharType="separate"/>
      </w:r>
      <w:r>
        <w:t>DEFEO302D Unpackage ammunition</w:t>
      </w:r>
      <w:r>
        <w:fldChar w:fldCharType="end"/>
      </w:r>
    </w:p>
    <w:p w:rsidR="002861FB" w:rsidP="002861FB">
      <w:pPr>
        <w:pStyle w:val="Version"/>
        <w:sectPr w:rsidSect="00A263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638F" w:rsidP="00A2638F">
      <w:pPr>
        <w:pStyle w:val="SuperHeading"/>
      </w:pPr>
      <w:r w:rsidRPr="00A2638F">
        <w:t>DEFEO302D Unpackage ammunition</w:t>
      </w:r>
    </w:p>
    <w:p w:rsidR="00000000" w:rsidRPr="00A2638F" w:rsidP="00A2638F">
      <w:pPr>
        <w:pStyle w:val="Heading1"/>
      </w:pPr>
      <w:bookmarkStart w:id="1" w:name="O_518419"/>
      <w:bookmarkEnd w:id="1"/>
      <w:r w:rsidRPr="00A2638F">
        <w:t>Modification History</w:t>
      </w:r>
    </w:p>
    <w:tbl>
      <w:tblPr>
        <w:tblW w:w="0" w:type="auto"/>
        <w:tblLayout w:type="fixed"/>
        <w:tblCellMar>
          <w:left w:w="62" w:type="dxa"/>
          <w:right w:w="62" w:type="dxa"/>
        </w:tblCellMar>
        <w:tblLook w:val="0000"/>
      </w:tblPr>
      <w:tblGrid>
        <w:gridCol w:w="1134"/>
        <w:gridCol w:w="1701"/>
        <w:gridCol w:w="4536"/>
      </w:tblGrid>
      <w:tr w:rsidTr="002861FB">
        <w:tblPrEx>
          <w:tblW w:w="0" w:type="auto"/>
          <w:tblLayout w:type="fixed"/>
          <w:tblCellMar>
            <w:left w:w="62" w:type="dxa"/>
            <w:right w:w="62" w:type="dxa"/>
          </w:tblCellMar>
          <w:tblLook w:val="0000"/>
        </w:tblPrEx>
        <w:trPr>
          <w:trHeight w:val="476"/>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38F" w:rsidP="00A2638F">
            <w:pPr>
              <w:pStyle w:val="BodyText"/>
            </w:pPr>
            <w:r w:rsidRPr="00A2638F">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38F" w:rsidP="00A2638F">
            <w:pPr>
              <w:pStyle w:val="BodyText"/>
            </w:pPr>
            <w:r w:rsidRPr="00A2638F">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rPr>
                <w:rStyle w:val="SpecialBold"/>
              </w:rPr>
              <w:t xml:space="preserve"> Comments</w:t>
            </w:r>
          </w:p>
        </w:tc>
      </w:tr>
      <w:tr w:rsidTr="002861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t>Layout adjusted.</w:t>
            </w:r>
          </w:p>
        </w:tc>
      </w:tr>
      <w:tr w:rsidTr="002861FB">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38F" w:rsidP="00A2638F">
            <w:pPr>
              <w:pStyle w:val="BodyText"/>
            </w:pPr>
            <w:r w:rsidRPr="00A2638F">
              <w:t>First release.</w:t>
            </w:r>
          </w:p>
        </w:tc>
      </w:tr>
    </w:tbl>
    <w:p w:rsidR="002861FB" w:rsidP="00A2638F">
      <w:pPr>
        <w:pStyle w:val="BodyText"/>
      </w:pPr>
    </w:p>
    <w:p w:rsidR="002861FB" w:rsidP="00A2638F">
      <w:pPr>
        <w:pStyle w:val="BodyText"/>
      </w:pPr>
    </w:p>
    <w:p w:rsidR="00000000" w:rsidRPr="00A2638F" w:rsidP="00A2638F">
      <w:pPr>
        <w:pStyle w:val="Heading1"/>
      </w:pPr>
      <w:bookmarkStart w:id="2" w:name="O_518418"/>
      <w:bookmarkEnd w:id="2"/>
      <w:r w:rsidRPr="00A2638F">
        <w:t>Unit Descriptor</w:t>
      </w:r>
    </w:p>
    <w:p w:rsidR="00000000" w:rsidRPr="00A2638F" w:rsidP="00A2638F">
      <w:pPr>
        <w:pStyle w:val="BodyText"/>
      </w:pPr>
      <w:r w:rsidRPr="00A2638F">
        <w:t>This unit covers the competency required to unpackage ammunition/explosive ordnance and explosive components prior to inspection or maintenance.</w:t>
      </w:r>
    </w:p>
    <w:p w:rsidR="00000000" w:rsidRPr="00A2638F" w:rsidP="00A2638F">
      <w:pPr>
        <w:pStyle w:val="AllowPageBreak"/>
      </w:pPr>
    </w:p>
    <w:p w:rsidR="00000000" w:rsidRPr="00A2638F" w:rsidP="00A2638F">
      <w:pPr>
        <w:pStyle w:val="Heading1"/>
      </w:pPr>
      <w:bookmarkStart w:id="3" w:name="O_518417"/>
      <w:bookmarkEnd w:id="3"/>
      <w:r w:rsidRPr="00A2638F">
        <w:t>Application of the Unit</w:t>
      </w:r>
    </w:p>
    <w:p w:rsidR="00000000" w:rsidRPr="00A2638F" w:rsidP="00A2638F">
      <w:pPr>
        <w:pStyle w:val="BodyText"/>
      </w:pPr>
      <w:r w:rsidRPr="00A2638F">
        <w:t xml:space="preserve">This competency normally applies to the individual who is required to </w:t>
      </w:r>
      <w:r w:rsidRPr="00A2638F">
        <w:t>prepare for and unpack ammunition/explosive ordnance and explosive components prior to inspection or maintenance.</w:t>
      </w:r>
    </w:p>
    <w:p w:rsidR="00000000" w:rsidRPr="00A2638F" w:rsidP="00A2638F">
      <w:pPr>
        <w:pStyle w:val="BodyText"/>
      </w:pPr>
      <w:r w:rsidRPr="00A2638F">
        <w:t>The unit requires the individual to calculate net explosive quantity, apply compatibility constraints, inspect the packaging and maintain a ra</w:t>
      </w:r>
      <w:r w:rsidRPr="00A2638F">
        <w:t>nge of documentation.</w:t>
      </w:r>
    </w:p>
    <w:p w:rsidR="00000000" w:rsidRPr="00A2638F" w:rsidP="00A2638F">
      <w:pPr>
        <w:pStyle w:val="AllowPageBreak"/>
      </w:pPr>
    </w:p>
    <w:p w:rsidR="00000000" w:rsidRPr="00A2638F" w:rsidP="00A2638F">
      <w:pPr>
        <w:pStyle w:val="Heading1"/>
      </w:pPr>
      <w:bookmarkStart w:id="4" w:name="O_518416"/>
      <w:bookmarkEnd w:id="4"/>
      <w:r w:rsidRPr="00A2638F">
        <w:t>Licensing/Regulatory Information</w:t>
      </w:r>
    </w:p>
    <w:p w:rsidR="00000000" w:rsidRPr="00A2638F" w:rsidP="00A2638F">
      <w:pPr>
        <w:pStyle w:val="BodyText"/>
      </w:pPr>
      <w:r w:rsidRPr="00A2638F">
        <w:t>Not applicable.</w:t>
      </w:r>
    </w:p>
    <w:p w:rsidR="00000000" w:rsidRPr="00A2638F" w:rsidP="00A2638F">
      <w:pPr>
        <w:pStyle w:val="AllowPageBreak"/>
      </w:pPr>
    </w:p>
    <w:p w:rsidR="00000000" w:rsidRPr="00A2638F" w:rsidP="00A2638F">
      <w:pPr>
        <w:pStyle w:val="Heading1"/>
      </w:pPr>
      <w:bookmarkStart w:id="5" w:name="O_518415"/>
      <w:bookmarkEnd w:id="5"/>
      <w:r w:rsidRPr="00A2638F">
        <w:t>Pre-Requisites</w:t>
      </w:r>
    </w:p>
    <w:p w:rsidR="00000000" w:rsidRPr="00A2638F" w:rsidP="00A2638F">
      <w:pPr>
        <w:pStyle w:val="BodyText"/>
      </w:pPr>
      <w:r w:rsidRPr="00A2638F">
        <w:t xml:space="preserve">Not applicable. </w:t>
      </w:r>
    </w:p>
    <w:p w:rsidR="00000000" w:rsidRPr="00A2638F" w:rsidP="00A2638F">
      <w:pPr>
        <w:pStyle w:val="AllowPageBreak"/>
      </w:pPr>
    </w:p>
    <w:p w:rsidR="00000000" w:rsidRPr="00A2638F" w:rsidP="00A2638F">
      <w:pPr>
        <w:pStyle w:val="Heading1"/>
      </w:pPr>
      <w:bookmarkStart w:id="6" w:name="O_518414"/>
      <w:bookmarkEnd w:id="6"/>
      <w:r w:rsidRPr="00A2638F">
        <w:t>Employability Skills Information</w:t>
      </w:r>
    </w:p>
    <w:p w:rsidR="00000000" w:rsidRPr="00A2638F" w:rsidP="00A2638F">
      <w:pPr>
        <w:pStyle w:val="BodyText"/>
      </w:pPr>
      <w:r w:rsidRPr="00A2638F">
        <w:t>This unit contains employability skills.</w:t>
      </w:r>
    </w:p>
    <w:p w:rsidR="00000000" w:rsidRPr="00A2638F" w:rsidP="00A2638F">
      <w:pPr>
        <w:pStyle w:val="AllowPageBreak"/>
      </w:pPr>
    </w:p>
    <w:p w:rsidR="00000000" w:rsidRPr="00A2638F" w:rsidP="00A2638F">
      <w:pPr>
        <w:pStyle w:val="Heading1"/>
      </w:pPr>
      <w:bookmarkStart w:id="7" w:name="O_518413"/>
      <w:bookmarkEnd w:id="7"/>
      <w:r w:rsidRPr="00A2638F">
        <w:t>Elements an</w:t>
      </w:r>
      <w:r w:rsidRPr="00A2638F">
        <w:t>d Performance Criteria Pre-Content</w:t>
      </w:r>
    </w:p>
    <w:tbl>
      <w:tblPr>
        <w:tblW w:w="0" w:type="auto"/>
        <w:tblLayout w:type="fixed"/>
        <w:tblCellMar>
          <w:left w:w="62" w:type="dxa"/>
          <w:right w:w="62" w:type="dxa"/>
        </w:tblCellMar>
        <w:tblLook w:val="0000"/>
      </w:tblPr>
      <w:tblGrid>
        <w:gridCol w:w="3060"/>
        <w:gridCol w:w="5580"/>
      </w:tblGrid>
      <w:tr w:rsidTr="002861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638F">
            <w:pPr>
              <w:pStyle w:val="BodyText"/>
              <w:rPr>
                <w:lang w:val="en-NZ"/>
              </w:rPr>
            </w:pPr>
            <w:r w:rsidRPr="00A2638F">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A2638F" w:rsidP="00A2638F">
            <w:pPr>
              <w:pStyle w:val="BodyText"/>
            </w:pPr>
            <w:r w:rsidRPr="00A2638F">
              <w:t xml:space="preserve">Performance Criteria describe the required performance needed to demonstrate achievement of the element. Where </w:t>
            </w:r>
            <w:r w:rsidRPr="00A2638F">
              <w:rPr>
                <w:rStyle w:val="BoldandItalics"/>
              </w:rPr>
              <w:t>bold italicised</w:t>
            </w:r>
            <w:r w:rsidRPr="00A2638F">
              <w:t xml:space="preserve"> text is used, further inform</w:t>
            </w:r>
            <w:r w:rsidRPr="00A2638F">
              <w:t>ation is detailed in the Range Statement. Assessment of performance is to be consistent with the Evidence Guide.</w:t>
            </w:r>
          </w:p>
        </w:tc>
      </w:tr>
    </w:tbl>
    <w:p w:rsidR="00000000" w:rsidRPr="00A2638F" w:rsidP="00A2638F">
      <w:pPr>
        <w:pStyle w:val="BodyText"/>
      </w:pPr>
    </w:p>
    <w:p w:rsidR="00000000" w:rsidRPr="00A2638F" w:rsidP="00A2638F">
      <w:pPr>
        <w:pStyle w:val="AllowPageBreak"/>
      </w:pPr>
    </w:p>
    <w:p w:rsidR="00000000" w:rsidRPr="00A2638F" w:rsidP="00A2638F">
      <w:pPr>
        <w:pStyle w:val="Heading1"/>
      </w:pPr>
      <w:bookmarkStart w:id="8" w:name="O_518412"/>
      <w:bookmarkEnd w:id="8"/>
      <w:r w:rsidRPr="00A2638F">
        <w:t>Elements and Performance Criteria</w:t>
      </w:r>
    </w:p>
    <w:tbl>
      <w:tblPr>
        <w:tblW w:w="0" w:type="auto"/>
        <w:tblLayout w:type="fixed"/>
        <w:tblCellMar>
          <w:left w:w="62" w:type="dxa"/>
          <w:right w:w="62" w:type="dxa"/>
        </w:tblCellMar>
        <w:tblLook w:val="0000"/>
      </w:tblPr>
      <w:tblGrid>
        <w:gridCol w:w="3060"/>
        <w:gridCol w:w="5580"/>
      </w:tblGrid>
      <w:tr w:rsidTr="002861FB">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A2638F" w:rsidP="00A2638F">
            <w:pPr>
              <w:pStyle w:val="BodyText"/>
            </w:pPr>
            <w:r w:rsidRPr="00A2638F">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A2638F">
            <w:pPr>
              <w:pStyle w:val="BodyText"/>
              <w:rPr>
                <w:lang w:val="en-NZ"/>
              </w:rPr>
            </w:pPr>
            <w:r w:rsidRPr="00A2638F">
              <w:rPr>
                <w:rStyle w:val="SpecialBold"/>
              </w:rPr>
              <w:t>PERFORMANCE CRITERIA</w:t>
            </w:r>
          </w:p>
        </w:tc>
      </w:tr>
      <w:tr w:rsidTr="002861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638F">
            <w:pPr>
              <w:pStyle w:val="List"/>
              <w:rPr>
                <w:lang w:val="en-NZ"/>
              </w:rPr>
            </w:pPr>
            <w:r w:rsidRPr="00A2638F">
              <w:t>1.</w:t>
            </w:r>
            <w:r w:rsidRPr="00A2638F">
              <w:tab/>
            </w:r>
            <w:r w:rsidRPr="00A2638F">
              <w:rPr>
                <w:rStyle w:val="SpecialBold"/>
              </w:rPr>
              <w:t>Prepare for unpackaging</w:t>
            </w:r>
          </w:p>
        </w:tc>
        <w:tc>
          <w:tcPr>
            <w:tcW w:w="5580" w:type="dxa"/>
            <w:tcBorders>
              <w:top w:val="nil"/>
              <w:left w:val="nil"/>
              <w:bottom w:val="nil"/>
              <w:right w:val="nil"/>
            </w:tcBorders>
            <w:tcMar>
              <w:top w:w="0" w:type="dxa"/>
              <w:left w:w="62" w:type="dxa"/>
              <w:bottom w:w="0" w:type="dxa"/>
              <w:right w:w="62" w:type="dxa"/>
            </w:tcMar>
          </w:tcPr>
          <w:p w:rsidR="00000000" w:rsidRPr="00A2638F" w:rsidP="00A2638F">
            <w:pPr>
              <w:pStyle w:val="List"/>
            </w:pPr>
            <w:r w:rsidRPr="00A2638F">
              <w:t>1.1</w:t>
            </w:r>
            <w:r w:rsidRPr="00A2638F">
              <w:tab/>
            </w:r>
            <w:r w:rsidRPr="00A2638F">
              <w:rPr>
                <w:rStyle w:val="BoldandItalics"/>
              </w:rPr>
              <w:t>Unpackaging requirements</w:t>
            </w:r>
            <w:r w:rsidRPr="00A2638F">
              <w:t xml:space="preserve"> are identified from work requests/instructions and are confirmed with relevant personnel</w:t>
            </w:r>
          </w:p>
          <w:p w:rsidR="00000000" w:rsidRPr="00A2638F" w:rsidP="00A2638F">
            <w:pPr>
              <w:pStyle w:val="List"/>
            </w:pPr>
            <w:r w:rsidRPr="00A2638F">
              <w:t>1.2</w:t>
            </w:r>
            <w:r w:rsidRPr="00A2638F">
              <w:tab/>
              <w:t xml:space="preserve">Work health and safety (WHS) requirements, including those contained in </w:t>
            </w:r>
            <w:r w:rsidRPr="00A2638F">
              <w:rPr>
                <w:rStyle w:val="BoldandItalics"/>
              </w:rPr>
              <w:t>organisational</w:t>
            </w:r>
            <w:r w:rsidRPr="00A2638F">
              <w:t xml:space="preserve"> procedures, are applied throughout the operation</w:t>
            </w:r>
          </w:p>
          <w:p w:rsidR="00000000" w:rsidRPr="00A2638F" w:rsidP="00A2638F">
            <w:pPr>
              <w:pStyle w:val="List"/>
            </w:pPr>
            <w:r w:rsidRPr="00A2638F">
              <w:t>1.3</w:t>
            </w:r>
            <w:r w:rsidRPr="00A2638F">
              <w:tab/>
            </w:r>
            <w:r w:rsidRPr="00A2638F">
              <w:rPr>
                <w:rStyle w:val="BoldandItalics"/>
              </w:rPr>
              <w:t>Technical references</w:t>
            </w:r>
            <w:r w:rsidRPr="00A2638F">
              <w:t xml:space="preserve">, </w:t>
            </w:r>
            <w:r w:rsidRPr="00A2638F">
              <w:t>tools and equipment are identified, acquired and prepared in accordance with organisational procedures</w:t>
            </w:r>
          </w:p>
          <w:p w:rsidR="00000000" w:rsidRPr="00A2638F" w:rsidP="00A2638F">
            <w:pPr>
              <w:pStyle w:val="List"/>
            </w:pPr>
            <w:r w:rsidRPr="00A2638F">
              <w:t>1.4</w:t>
            </w:r>
            <w:r w:rsidRPr="00A2638F">
              <w:tab/>
            </w:r>
            <w:r w:rsidRPr="00A2638F">
              <w:rPr>
                <w:rStyle w:val="BoldandItalics"/>
              </w:rPr>
              <w:t>Net explosive quantities</w:t>
            </w:r>
            <w:r w:rsidRPr="00A2638F">
              <w:t xml:space="preserve"> and </w:t>
            </w:r>
            <w:r w:rsidRPr="00A2638F">
              <w:rPr>
                <w:rStyle w:val="BoldandItalics"/>
              </w:rPr>
              <w:t>compatibility</w:t>
            </w:r>
            <w:r w:rsidRPr="00A2638F">
              <w:t xml:space="preserve"> are identified, calculated, analysed and applied throughout the operation</w:t>
            </w:r>
          </w:p>
          <w:p w:rsidR="00000000" w:rsidRPr="00A2638F" w:rsidP="00A2638F">
            <w:pPr>
              <w:pStyle w:val="List"/>
            </w:pPr>
            <w:r w:rsidRPr="00A2638F">
              <w:t>1.5</w:t>
            </w:r>
            <w:r w:rsidRPr="00A2638F">
              <w:tab/>
              <w:t>Emergency and contingency pr</w:t>
            </w:r>
            <w:r w:rsidRPr="00A2638F">
              <w:t>ocedures are applied in accordance with organisational policy</w:t>
            </w:r>
          </w:p>
          <w:p w:rsidR="00000000" w:rsidP="00A2638F">
            <w:pPr>
              <w:pStyle w:val="List"/>
              <w:rPr>
                <w:lang w:val="en-NZ"/>
              </w:rPr>
            </w:pPr>
            <w:r w:rsidRPr="00A2638F">
              <w:t>1.6</w:t>
            </w:r>
            <w:r w:rsidRPr="00A2638F">
              <w:tab/>
            </w:r>
            <w:r w:rsidRPr="00A2638F">
              <w:rPr>
                <w:rStyle w:val="BoldandItalics"/>
              </w:rPr>
              <w:t>Environmental conditions</w:t>
            </w:r>
            <w:r w:rsidRPr="00A2638F">
              <w:t xml:space="preserve"> are monitored and maintained in accordance with organisational policy</w:t>
            </w:r>
          </w:p>
        </w:tc>
      </w:tr>
      <w:tr w:rsidTr="002861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638F">
            <w:pPr>
              <w:pStyle w:val="List"/>
              <w:rPr>
                <w:lang w:val="en-NZ"/>
              </w:rPr>
            </w:pPr>
            <w:r w:rsidRPr="00A2638F">
              <w:t>2.</w:t>
            </w:r>
            <w:r w:rsidRPr="00A2638F">
              <w:tab/>
            </w:r>
            <w:r w:rsidRPr="00A2638F">
              <w:rPr>
                <w:rStyle w:val="SpecialBold"/>
              </w:rPr>
              <w:t>Unpack ammunition</w:t>
            </w:r>
            <w:r w:rsidRPr="00A2638F">
              <w:t xml:space="preserve">/ </w:t>
            </w:r>
            <w:r w:rsidRPr="00A2638F">
              <w:rPr>
                <w:rStyle w:val="SpecialBold"/>
              </w:rPr>
              <w:t>explosive ordnance</w:t>
            </w:r>
          </w:p>
        </w:tc>
        <w:tc>
          <w:tcPr>
            <w:tcW w:w="5580" w:type="dxa"/>
            <w:tcBorders>
              <w:top w:val="nil"/>
              <w:left w:val="nil"/>
              <w:bottom w:val="nil"/>
              <w:right w:val="nil"/>
            </w:tcBorders>
            <w:tcMar>
              <w:top w:w="0" w:type="dxa"/>
              <w:left w:w="62" w:type="dxa"/>
              <w:bottom w:w="0" w:type="dxa"/>
              <w:right w:w="62" w:type="dxa"/>
            </w:tcMar>
          </w:tcPr>
          <w:p w:rsidR="00000000" w:rsidRPr="00A2638F" w:rsidP="00A2638F">
            <w:pPr>
              <w:pStyle w:val="List"/>
            </w:pPr>
            <w:r w:rsidRPr="00A2638F">
              <w:t>2.1</w:t>
            </w:r>
            <w:r w:rsidRPr="00A2638F">
              <w:tab/>
              <w:t>Ammunition/explosive ordnance or explosive compon</w:t>
            </w:r>
            <w:r w:rsidRPr="00A2638F">
              <w:t>ents are prepared for unpackaging in accordance with organisational policy and procedures</w:t>
            </w:r>
          </w:p>
          <w:p w:rsidR="00000000" w:rsidRPr="00A2638F" w:rsidP="00A2638F">
            <w:pPr>
              <w:pStyle w:val="List"/>
            </w:pPr>
            <w:r w:rsidRPr="00A2638F">
              <w:t>2.2</w:t>
            </w:r>
            <w:r w:rsidRPr="00A2638F">
              <w:tab/>
              <w:t>Ammunition/explosive ordnance or explosive components are unpackaged in accordance with technical instructions, technical drawings and organisational procedures</w:t>
            </w:r>
          </w:p>
          <w:p w:rsidR="00000000" w:rsidRPr="00A2638F" w:rsidP="00A2638F">
            <w:pPr>
              <w:pStyle w:val="List"/>
            </w:pPr>
            <w:r w:rsidRPr="00A2638F">
              <w:t>2</w:t>
            </w:r>
            <w:r w:rsidRPr="00A2638F">
              <w:t>.3</w:t>
            </w:r>
            <w:r w:rsidRPr="00A2638F">
              <w:tab/>
              <w:t>Packaging material is stored or disposed of in accordance with statutory and organisational policy</w:t>
            </w:r>
          </w:p>
          <w:p w:rsidR="00000000" w:rsidP="00A2638F">
            <w:pPr>
              <w:pStyle w:val="List"/>
              <w:rPr>
                <w:lang w:val="en-NZ"/>
              </w:rPr>
            </w:pPr>
            <w:r w:rsidRPr="00A2638F">
              <w:t>2.4</w:t>
            </w:r>
            <w:r w:rsidRPr="00A2638F">
              <w:tab/>
              <w:t xml:space="preserve">Relevant </w:t>
            </w:r>
            <w:r w:rsidRPr="00A2638F">
              <w:rPr>
                <w:rStyle w:val="BoldandItalics"/>
              </w:rPr>
              <w:t>calculations</w:t>
            </w:r>
            <w:r w:rsidRPr="00A2638F">
              <w:t xml:space="preserve"> are carried out and recorded</w:t>
            </w:r>
          </w:p>
        </w:tc>
      </w:tr>
      <w:tr w:rsidTr="002861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638F">
            <w:pPr>
              <w:pStyle w:val="List"/>
              <w:rPr>
                <w:lang w:val="en-NZ"/>
              </w:rPr>
            </w:pPr>
            <w:r w:rsidRPr="00A2638F">
              <w:t>3.</w:t>
            </w:r>
            <w:r w:rsidRPr="00A2638F">
              <w:tab/>
            </w:r>
            <w:r w:rsidRPr="00A2638F">
              <w:rPr>
                <w:rStyle w:val="SpecialBold"/>
              </w:rPr>
              <w:t>Finalise unpackaging procedures</w:t>
            </w:r>
          </w:p>
        </w:tc>
        <w:tc>
          <w:tcPr>
            <w:tcW w:w="5580" w:type="dxa"/>
            <w:tcBorders>
              <w:top w:val="nil"/>
              <w:left w:val="nil"/>
              <w:bottom w:val="nil"/>
              <w:right w:val="nil"/>
            </w:tcBorders>
            <w:tcMar>
              <w:top w:w="0" w:type="dxa"/>
              <w:left w:w="62" w:type="dxa"/>
              <w:bottom w:w="0" w:type="dxa"/>
              <w:right w:w="62" w:type="dxa"/>
            </w:tcMar>
          </w:tcPr>
          <w:p w:rsidR="00000000" w:rsidRPr="00A2638F" w:rsidP="00A2638F">
            <w:pPr>
              <w:pStyle w:val="List"/>
            </w:pPr>
            <w:r w:rsidRPr="00A2638F">
              <w:t>3.1</w:t>
            </w:r>
            <w:r w:rsidRPr="00A2638F">
              <w:tab/>
              <w:t>Equipment/tools are maintained in accordance with organisat</w:t>
            </w:r>
            <w:r w:rsidRPr="00A2638F">
              <w:t>ional policy and procedures</w:t>
            </w:r>
          </w:p>
          <w:p w:rsidR="00000000" w:rsidRPr="00A2638F" w:rsidP="00A2638F">
            <w:pPr>
              <w:pStyle w:val="List"/>
            </w:pPr>
            <w:r w:rsidRPr="00A2638F">
              <w:t>3.2</w:t>
            </w:r>
            <w:r w:rsidRPr="00A2638F">
              <w:tab/>
            </w:r>
            <w:r w:rsidRPr="00A2638F">
              <w:rPr>
                <w:rStyle w:val="BoldandItalics"/>
              </w:rPr>
              <w:t>Documentation and records</w:t>
            </w:r>
            <w:r w:rsidRPr="00A2638F">
              <w:t xml:space="preserve"> are maintained in accordance with statutory, organisational and workshop requirements</w:t>
            </w:r>
          </w:p>
        </w:tc>
      </w:tr>
    </w:tbl>
    <w:p w:rsidR="00000000" w:rsidRPr="00A2638F" w:rsidP="00A2638F">
      <w:pPr>
        <w:pStyle w:val="BodyText"/>
      </w:pPr>
    </w:p>
    <w:p w:rsidR="00000000" w:rsidRPr="00A2638F" w:rsidP="00A2638F">
      <w:pPr>
        <w:pStyle w:val="AllowPageBreak"/>
      </w:pPr>
    </w:p>
    <w:p w:rsidR="00000000" w:rsidRPr="00A2638F" w:rsidP="00A2638F">
      <w:pPr>
        <w:pStyle w:val="Heading1"/>
      </w:pPr>
      <w:bookmarkStart w:id="9" w:name="O_518411"/>
      <w:bookmarkEnd w:id="9"/>
      <w:r w:rsidRPr="00A2638F">
        <w:t>Required Skills and Knowledge</w:t>
      </w:r>
    </w:p>
    <w:tbl>
      <w:tblPr>
        <w:tblW w:w="0" w:type="auto"/>
        <w:tblLayout w:type="fixed"/>
        <w:tblCellMar>
          <w:left w:w="62" w:type="dxa"/>
          <w:right w:w="62" w:type="dxa"/>
        </w:tblCellMar>
        <w:tblLook w:val="0000"/>
      </w:tblPr>
      <w:tblGrid>
        <w:gridCol w:w="8640"/>
      </w:tblGrid>
      <w:tr w:rsidTr="002861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2638F">
            <w:pPr>
              <w:pStyle w:val="BodyText"/>
              <w:rPr>
                <w:lang w:val="en-NZ"/>
              </w:rPr>
            </w:pPr>
            <w:r w:rsidRPr="00A2638F">
              <w:t>This describes the essential skills and knowledge and their lev</w:t>
            </w:r>
            <w:r w:rsidRPr="00A2638F">
              <w:t>el, required for this unit.</w:t>
            </w:r>
          </w:p>
        </w:tc>
      </w:tr>
      <w:tr w:rsidTr="002861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2638F">
            <w:pPr>
              <w:pStyle w:val="BodyText"/>
              <w:rPr>
                <w:lang w:val="en-NZ"/>
              </w:rPr>
            </w:pPr>
            <w:r w:rsidRPr="00A2638F">
              <w:rPr>
                <w:rStyle w:val="SpecialBold"/>
              </w:rPr>
              <w:t>Required Skills</w:t>
            </w:r>
          </w:p>
        </w:tc>
      </w:tr>
      <w:tr w:rsidTr="002861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2638F" w:rsidP="00A2638F">
            <w:pPr>
              <w:pStyle w:val="ListBullet"/>
            </w:pPr>
            <w:r w:rsidRPr="00A2638F">
              <w:t>apply anti static procedures</w:t>
            </w:r>
          </w:p>
          <w:p w:rsidR="00000000" w:rsidRPr="00A2638F" w:rsidP="00A2638F">
            <w:pPr>
              <w:pStyle w:val="ListBullet"/>
            </w:pPr>
            <w:r w:rsidRPr="00A2638F">
              <w:t>apply compatibility constraints</w:t>
            </w:r>
          </w:p>
          <w:p w:rsidR="00000000" w:rsidRPr="00A2638F" w:rsidP="00A2638F">
            <w:pPr>
              <w:pStyle w:val="ListBullet"/>
            </w:pPr>
            <w:r w:rsidRPr="00A2638F">
              <w:t>apply environmental constraints</w:t>
            </w:r>
          </w:p>
          <w:p w:rsidR="00000000" w:rsidRPr="00A2638F" w:rsidP="00A2638F">
            <w:pPr>
              <w:pStyle w:val="ListBullet"/>
            </w:pPr>
            <w:r w:rsidRPr="00A2638F">
              <w:t>apply operational safety</w:t>
            </w:r>
          </w:p>
          <w:p w:rsidR="00000000" w:rsidRPr="00A2638F" w:rsidP="00A2638F">
            <w:pPr>
              <w:pStyle w:val="ListBullet"/>
            </w:pPr>
            <w:r w:rsidRPr="00A2638F">
              <w:t>apply relevant WHS requirements</w:t>
            </w:r>
          </w:p>
          <w:p w:rsidR="00000000" w:rsidRPr="00A2638F" w:rsidP="00A2638F">
            <w:pPr>
              <w:pStyle w:val="ListBullet"/>
            </w:pPr>
            <w:r w:rsidRPr="00A2638F">
              <w:t>calculate and maintain net explosive quantity</w:t>
            </w:r>
          </w:p>
          <w:p w:rsidR="00000000" w:rsidRPr="00A2638F" w:rsidP="00A2638F">
            <w:pPr>
              <w:pStyle w:val="ListBullet"/>
            </w:pPr>
            <w:r w:rsidRPr="00A2638F">
              <w:t>identify ammunition/explosive ordnance and packaging materials</w:t>
            </w:r>
          </w:p>
          <w:p w:rsidR="00000000" w:rsidRPr="00A2638F" w:rsidP="00A2638F">
            <w:pPr>
              <w:pStyle w:val="ListBullet"/>
            </w:pPr>
            <w:r w:rsidRPr="00A2638F">
              <w:t>identify colour codlings, markings and labels</w:t>
            </w:r>
          </w:p>
          <w:p w:rsidR="00000000" w:rsidRPr="00A2638F" w:rsidP="00A2638F">
            <w:pPr>
              <w:pStyle w:val="ListBullet"/>
            </w:pPr>
            <w:r w:rsidRPr="00A2638F">
              <w:t>maintain documentation</w:t>
            </w:r>
          </w:p>
          <w:p w:rsidR="00000000" w:rsidRPr="00A2638F" w:rsidP="00A2638F">
            <w:pPr>
              <w:pStyle w:val="ListBullet"/>
            </w:pPr>
            <w:r w:rsidRPr="00A2638F">
              <w:t>read, access, interpret and apply technical instructions and drawings related to packaging of ammunition/explosive ordnance</w:t>
            </w:r>
          </w:p>
          <w:p w:rsidR="00000000" w:rsidRPr="00A2638F" w:rsidP="00A2638F">
            <w:pPr>
              <w:pStyle w:val="ListBullet"/>
            </w:pPr>
            <w:r w:rsidRPr="00A2638F">
              <w:t>use unpackaging tools and equipment</w:t>
            </w:r>
          </w:p>
          <w:p w:rsidR="00000000" w:rsidP="00A2638F">
            <w:pPr>
              <w:pStyle w:val="ListBullet"/>
              <w:rPr>
                <w:lang w:val="en-NZ"/>
              </w:rPr>
            </w:pPr>
            <w:r w:rsidRPr="00A2638F">
              <w:t>vent containers</w:t>
            </w:r>
          </w:p>
        </w:tc>
      </w:tr>
      <w:tr w:rsidTr="002861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A2638F">
            <w:pPr>
              <w:pStyle w:val="BodyText"/>
              <w:rPr>
                <w:lang w:val="en-NZ"/>
              </w:rPr>
            </w:pPr>
            <w:r w:rsidRPr="00A2638F">
              <w:rPr>
                <w:rStyle w:val="SpecialBold"/>
              </w:rPr>
              <w:t>Required Knowledge</w:t>
            </w:r>
          </w:p>
        </w:tc>
      </w:tr>
      <w:tr w:rsidTr="002861F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2638F" w:rsidP="00A2638F">
            <w:pPr>
              <w:pStyle w:val="ListBullet"/>
            </w:pPr>
            <w:r w:rsidRPr="00A2638F">
              <w:t>ammunition/explosive ordnance to be unpackaged</w:t>
            </w:r>
          </w:p>
          <w:p w:rsidR="00000000" w:rsidRPr="00A2638F" w:rsidP="00A2638F">
            <w:pPr>
              <w:pStyle w:val="ListBullet"/>
            </w:pPr>
            <w:r w:rsidRPr="00A2638F">
              <w:t>anti static procedures</w:t>
            </w:r>
          </w:p>
          <w:p w:rsidR="00000000" w:rsidRPr="00A2638F" w:rsidP="00A2638F">
            <w:pPr>
              <w:pStyle w:val="ListBullet"/>
            </w:pPr>
            <w:r w:rsidRPr="00A2638F">
              <w:t>appropriate ammunition/explosive ordnance packaging</w:t>
            </w:r>
          </w:p>
          <w:p w:rsidR="00000000" w:rsidRPr="00A2638F" w:rsidP="00A2638F">
            <w:pPr>
              <w:pStyle w:val="ListBullet"/>
            </w:pPr>
            <w:r w:rsidRPr="00A2638F">
              <w:t>colour coding, markings</w:t>
            </w:r>
          </w:p>
          <w:p w:rsidR="00000000" w:rsidRPr="00A2638F" w:rsidP="00A2638F">
            <w:pPr>
              <w:pStyle w:val="ListBullet"/>
            </w:pPr>
            <w:r w:rsidRPr="00A2638F">
              <w:t>compatibility constraints</w:t>
            </w:r>
          </w:p>
          <w:p w:rsidR="00000000" w:rsidRPr="00A2638F" w:rsidP="00A2638F">
            <w:pPr>
              <w:pStyle w:val="ListBullet"/>
            </w:pPr>
            <w:r w:rsidRPr="00A2638F">
              <w:t>documentation requirements</w:t>
            </w:r>
          </w:p>
          <w:p w:rsidR="00000000" w:rsidRPr="00A2638F" w:rsidP="00A2638F">
            <w:pPr>
              <w:pStyle w:val="ListBullet"/>
            </w:pPr>
            <w:r w:rsidRPr="00A2638F">
              <w:t>effects of environmental conditions</w:t>
            </w:r>
          </w:p>
          <w:p w:rsidR="00000000" w:rsidRPr="00A2638F" w:rsidP="00A2638F">
            <w:pPr>
              <w:pStyle w:val="ListBullet"/>
            </w:pPr>
            <w:r w:rsidRPr="00A2638F">
              <w:t xml:space="preserve">net explosive quantity calculations </w:t>
            </w:r>
          </w:p>
          <w:p w:rsidR="00000000" w:rsidRPr="00A2638F" w:rsidP="00A2638F">
            <w:pPr>
              <w:pStyle w:val="ListBullet"/>
            </w:pPr>
            <w:r w:rsidRPr="00A2638F">
              <w:t>operational safety</w:t>
            </w:r>
          </w:p>
          <w:p w:rsidR="00000000" w:rsidRPr="00A2638F" w:rsidP="00A2638F">
            <w:pPr>
              <w:pStyle w:val="ListBullet"/>
            </w:pPr>
            <w:r w:rsidRPr="00A2638F">
              <w:t>operations and limitations of unpackaging tools and equipment</w:t>
            </w:r>
          </w:p>
          <w:p w:rsidR="00000000" w:rsidRPr="00A2638F" w:rsidP="00A2638F">
            <w:pPr>
              <w:pStyle w:val="ListBullet"/>
            </w:pPr>
            <w:r w:rsidRPr="00A2638F">
              <w:t>relevant WHS requirements</w:t>
            </w:r>
          </w:p>
          <w:p w:rsidR="00000000" w:rsidRPr="00A2638F" w:rsidP="00A2638F">
            <w:pPr>
              <w:pStyle w:val="ListBullet"/>
            </w:pPr>
            <w:r w:rsidRPr="00A2638F">
              <w:t>work condition class</w:t>
            </w:r>
          </w:p>
          <w:p w:rsidR="00000000" w:rsidRPr="00A2638F" w:rsidP="00A2638F">
            <w:pPr>
              <w:pStyle w:val="ListBullet"/>
            </w:pPr>
            <w:r w:rsidRPr="00A2638F">
              <w:t>venting procedures</w:t>
            </w:r>
          </w:p>
        </w:tc>
      </w:tr>
    </w:tbl>
    <w:p w:rsidR="00000000" w:rsidRPr="00A2638F" w:rsidP="00A2638F">
      <w:pPr>
        <w:pStyle w:val="BodyText"/>
      </w:pPr>
    </w:p>
    <w:p w:rsidR="00000000" w:rsidRPr="00A2638F" w:rsidP="00A2638F">
      <w:pPr>
        <w:pStyle w:val="AllowPageBreak"/>
      </w:pPr>
    </w:p>
    <w:p w:rsidR="00000000" w:rsidRPr="00A2638F" w:rsidP="00A2638F">
      <w:pPr>
        <w:pStyle w:val="Heading1"/>
      </w:pPr>
      <w:bookmarkStart w:id="10" w:name="O_518410"/>
      <w:bookmarkEnd w:id="10"/>
      <w:r w:rsidRPr="00A2638F">
        <w:t>Evidence Guide</w:t>
      </w:r>
    </w:p>
    <w:tbl>
      <w:tblPr>
        <w:tblW w:w="0" w:type="auto"/>
        <w:tblLayout w:type="fixed"/>
        <w:tblCellMar>
          <w:left w:w="62" w:type="dxa"/>
          <w:right w:w="62" w:type="dxa"/>
        </w:tblCellMar>
        <w:tblLook w:val="0000"/>
      </w:tblPr>
      <w:tblGrid>
        <w:gridCol w:w="3060"/>
        <w:gridCol w:w="5580"/>
      </w:tblGrid>
      <w:tr w:rsidTr="002861F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2638F">
            <w:pPr>
              <w:pStyle w:val="BodyText"/>
              <w:rPr>
                <w:lang w:val="en-NZ"/>
              </w:rPr>
            </w:pPr>
            <w:r w:rsidRPr="00A2638F">
              <w:t>The evidence guide provides advice on assessment and must be read in conjunction with the Performance Criteria, Required Skills and Knowledge, the Range Statement and the Assessment Guidelines for this Training Package.</w:t>
            </w:r>
          </w:p>
        </w:tc>
      </w:tr>
      <w:tr w:rsidTr="002861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638F">
            <w:pPr>
              <w:pStyle w:val="BodyText"/>
              <w:rPr>
                <w:lang w:val="en-NZ"/>
              </w:rPr>
            </w:pPr>
            <w:r w:rsidRPr="00A2638F">
              <w:rPr>
                <w:rStyle w:val="SpecialBold"/>
              </w:rPr>
              <w:t>Cri</w:t>
            </w:r>
            <w:r w:rsidRPr="00A2638F">
              <w:rPr>
                <w:rStyle w:val="SpecialBold"/>
              </w:rPr>
              <w:t>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A2638F" w:rsidP="00A2638F">
            <w:pPr>
              <w:pStyle w:val="BodyText"/>
            </w:pPr>
            <w:r w:rsidRPr="00A2638F">
              <w:t>Assessment must confirm the ability to:</w:t>
            </w:r>
          </w:p>
          <w:p w:rsidR="00000000" w:rsidRPr="00A2638F" w:rsidP="00A2638F">
            <w:pPr>
              <w:pStyle w:val="ListBullet"/>
            </w:pPr>
            <w:r w:rsidRPr="00A2638F">
              <w:t>adhere to relevant WHS requirements and operational safety</w:t>
            </w:r>
          </w:p>
          <w:p w:rsidR="00000000" w:rsidRPr="00A2638F" w:rsidP="00A2638F">
            <w:pPr>
              <w:pStyle w:val="ListBullet"/>
            </w:pPr>
            <w:r w:rsidRPr="00A2638F">
              <w:t>identify and select appropriate unpackaging tools and equipment</w:t>
            </w:r>
          </w:p>
          <w:p w:rsidR="00000000" w:rsidRPr="00A2638F" w:rsidP="00A2638F">
            <w:pPr>
              <w:pStyle w:val="ListBullet"/>
            </w:pPr>
            <w:r w:rsidRPr="00A2638F">
              <w:t>maintain documentation.</w:t>
            </w:r>
          </w:p>
          <w:p w:rsidR="00000000" w:rsidRPr="00A2638F" w:rsidP="00A2638F">
            <w:pPr>
              <w:pStyle w:val="BodyText"/>
            </w:pPr>
            <w:r w:rsidRPr="00A2638F">
              <w:rPr>
                <w:rStyle w:val="SpecialBold"/>
              </w:rPr>
              <w:t>Consistency in performance</w:t>
            </w:r>
          </w:p>
          <w:p w:rsidR="00000000" w:rsidP="00A2638F">
            <w:pPr>
              <w:pStyle w:val="BodyText"/>
              <w:rPr>
                <w:lang w:val="en-NZ"/>
              </w:rPr>
            </w:pPr>
            <w:r w:rsidRPr="00A2638F">
              <w:t>Competency should be demonstrated over time and in a range of actual or simulated explosive ordnance contexts.</w:t>
            </w:r>
          </w:p>
        </w:tc>
      </w:tr>
      <w:tr w:rsidTr="002861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A2638F" w:rsidP="00A2638F">
            <w:pPr>
              <w:pStyle w:val="BodyText"/>
            </w:pPr>
            <w:r w:rsidRPr="00A2638F">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A2638F" w:rsidP="00A2638F">
            <w:pPr>
              <w:pStyle w:val="BodyText"/>
            </w:pPr>
            <w:r w:rsidRPr="00A2638F">
              <w:rPr>
                <w:rStyle w:val="SpecialBold"/>
              </w:rPr>
              <w:t>Context of assessment</w:t>
            </w:r>
          </w:p>
          <w:p w:rsidR="00000000" w:rsidRPr="00A2638F" w:rsidP="00A2638F">
            <w:pPr>
              <w:pStyle w:val="BodyText"/>
            </w:pPr>
            <w:r w:rsidRPr="00A2638F">
              <w:t>Competency should be a</w:t>
            </w:r>
            <w:r w:rsidRPr="00A2638F">
              <w:t>ssessed in the workplace or under conditions which accurately simulate a realistic workplace in accordance with all relevant legislation and organisational requirements.</w:t>
            </w:r>
          </w:p>
          <w:p w:rsidR="00000000" w:rsidRPr="00A2638F" w:rsidP="00A2638F">
            <w:pPr>
              <w:pStyle w:val="BodyText"/>
            </w:pPr>
            <w:r w:rsidRPr="00A2638F">
              <w:t>Evidence should be gathered through observation of the practical component and targete</w:t>
            </w:r>
            <w:r w:rsidRPr="00A2638F">
              <w:t>d questioning to assess required knowledge.</w:t>
            </w:r>
          </w:p>
          <w:p w:rsidR="00000000" w:rsidRPr="00A2638F" w:rsidP="00A2638F">
            <w:pPr>
              <w:pStyle w:val="BodyText"/>
            </w:pPr>
            <w:r w:rsidRPr="00A2638F">
              <w:rPr>
                <w:rStyle w:val="SpecialBold"/>
              </w:rPr>
              <w:t>Specific resources for assessment</w:t>
            </w:r>
          </w:p>
          <w:p w:rsidR="00000000" w:rsidRPr="00A2638F" w:rsidP="00A2638F">
            <w:pPr>
              <w:pStyle w:val="BodyText"/>
            </w:pPr>
            <w:r w:rsidRPr="00A2638F">
              <w:t>Access is required to:</w:t>
            </w:r>
          </w:p>
          <w:p w:rsidR="00000000" w:rsidP="00A2638F">
            <w:pPr>
              <w:pStyle w:val="ListBullet"/>
              <w:rPr>
                <w:lang w:val="en-NZ"/>
              </w:rPr>
            </w:pPr>
            <w:r w:rsidRPr="00A2638F">
              <w:t>facilities and resources used in the packaging, storage, distribution and maintenance of explosive ordnance, including a licensed explosive site.</w:t>
            </w:r>
          </w:p>
        </w:tc>
      </w:tr>
      <w:tr w:rsidTr="002861FB">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A2638F">
            <w:pPr>
              <w:pStyle w:val="BodyText"/>
              <w:rPr>
                <w:lang w:val="en-NZ"/>
              </w:rPr>
            </w:pPr>
            <w:r w:rsidRPr="00A2638F">
              <w:rPr>
                <w:rStyle w:val="SpecialBold"/>
              </w:rPr>
              <w:t>Method of assessment</w:t>
            </w:r>
            <w:r w:rsidRPr="00A2638F">
              <w:t xml:space="preserve"> </w:t>
            </w:r>
          </w:p>
        </w:tc>
        <w:tc>
          <w:tcPr>
            <w:tcW w:w="5580" w:type="dxa"/>
            <w:tcBorders>
              <w:top w:val="nil"/>
              <w:left w:val="nil"/>
              <w:bottom w:val="nil"/>
              <w:right w:val="nil"/>
            </w:tcBorders>
            <w:tcMar>
              <w:top w:w="0" w:type="dxa"/>
              <w:left w:w="62" w:type="dxa"/>
              <w:bottom w:w="0" w:type="dxa"/>
              <w:right w:w="62" w:type="dxa"/>
            </w:tcMar>
          </w:tcPr>
          <w:p w:rsidR="00000000" w:rsidRPr="00A2638F" w:rsidP="00A2638F">
            <w:pPr>
              <w:pStyle w:val="BodyText"/>
            </w:pPr>
            <w:r w:rsidRPr="00A2638F">
              <w:t>This unit may be assessed with the following unit:</w:t>
            </w:r>
          </w:p>
          <w:p w:rsidR="00000000" w:rsidRPr="00A2638F" w:rsidP="00A2638F">
            <w:pPr>
              <w:pStyle w:val="ListBullet"/>
            </w:pPr>
            <w:r w:rsidRPr="00A2638F">
              <w:t>DEFEO101D Work safely with explosive ordnance.</w:t>
            </w:r>
          </w:p>
          <w:p w:rsidR="00000000" w:rsidRPr="00A2638F" w:rsidP="00A2638F">
            <w:pPr>
              <w:pStyle w:val="BodyText"/>
            </w:pPr>
            <w:r w:rsidRPr="00A2638F">
              <w:t>In a public safety environment assessment is usually conducted via direct observation in a training environment or in the workplace via</w:t>
            </w:r>
            <w:r w:rsidRPr="00A2638F">
              <w:t xml:space="preserve"> subject matter supervision and/or mentoring, which is typically recorded in a competency workbook.</w:t>
            </w:r>
          </w:p>
          <w:p w:rsidR="00000000" w:rsidRPr="00A2638F" w:rsidP="00A2638F">
            <w:pPr>
              <w:pStyle w:val="BodyText"/>
            </w:pPr>
            <w:r w:rsidRPr="00A2638F">
              <w:t>Assessment is completed using appropriately qualified assessors who select the most appropriate method of assessment.</w:t>
            </w:r>
          </w:p>
          <w:p w:rsidR="00000000" w:rsidRPr="00A2638F" w:rsidP="00A2638F">
            <w:pPr>
              <w:pStyle w:val="BodyText"/>
            </w:pPr>
            <w:r w:rsidRPr="00A2638F">
              <w:t>Assessment may occur in an operational</w:t>
            </w:r>
            <w:r w:rsidRPr="00A2638F">
              <w:t xml:space="preserve"> environment or in an industry-approved simulated work environment. Forms of assessment that are typically used include:</w:t>
            </w:r>
          </w:p>
          <w:p w:rsidR="00000000" w:rsidRPr="00A2638F" w:rsidP="00A2638F">
            <w:pPr>
              <w:pStyle w:val="ListBullet"/>
            </w:pPr>
            <w:r w:rsidRPr="00A2638F">
              <w:t>direct observation</w:t>
            </w:r>
          </w:p>
          <w:p w:rsidR="00000000" w:rsidRPr="00A2638F" w:rsidP="00A2638F">
            <w:pPr>
              <w:pStyle w:val="ListBullet"/>
            </w:pPr>
            <w:r w:rsidRPr="00A2638F">
              <w:t>interviewing the candidate</w:t>
            </w:r>
          </w:p>
          <w:p w:rsidR="00000000" w:rsidRPr="00A2638F" w:rsidP="00A2638F">
            <w:pPr>
              <w:pStyle w:val="ListBullet"/>
            </w:pPr>
            <w:r w:rsidRPr="00A2638F">
              <w:t>journals and workplace documentation</w:t>
            </w:r>
          </w:p>
          <w:p w:rsidR="00000000" w:rsidRPr="00A2638F" w:rsidP="00A2638F">
            <w:pPr>
              <w:pStyle w:val="ListBullet"/>
            </w:pPr>
            <w:r w:rsidRPr="00A2638F">
              <w:t>third party reports from supervisors</w:t>
            </w:r>
          </w:p>
          <w:p w:rsidR="00000000" w:rsidRPr="00A2638F" w:rsidP="00A2638F">
            <w:pPr>
              <w:pStyle w:val="ListBullet"/>
            </w:pPr>
            <w:r w:rsidRPr="00A2638F">
              <w:t>written or ora</w:t>
            </w:r>
            <w:r w:rsidRPr="00A2638F">
              <w:t>l questions</w:t>
            </w:r>
          </w:p>
        </w:tc>
      </w:tr>
    </w:tbl>
    <w:p w:rsidR="00000000" w:rsidRPr="00A2638F" w:rsidP="00A2638F">
      <w:pPr>
        <w:pStyle w:val="BodyText"/>
      </w:pPr>
    </w:p>
    <w:p w:rsidR="00000000" w:rsidRPr="00A2638F" w:rsidP="00A2638F">
      <w:pPr>
        <w:pStyle w:val="AllowPageBreak"/>
      </w:pPr>
    </w:p>
    <w:p w:rsidR="00000000" w:rsidRPr="00A2638F" w:rsidP="00A2638F">
      <w:pPr>
        <w:pStyle w:val="Heading1"/>
      </w:pPr>
      <w:bookmarkStart w:id="11" w:name="O_518409"/>
      <w:bookmarkEnd w:id="11"/>
      <w:r w:rsidRPr="00A2638F">
        <w:t>Range Statement</w:t>
      </w:r>
    </w:p>
    <w:tbl>
      <w:tblPr>
        <w:tblW w:w="0" w:type="auto"/>
        <w:tblLayout w:type="fixed"/>
        <w:tblCellMar>
          <w:left w:w="62" w:type="dxa"/>
          <w:right w:w="62" w:type="dxa"/>
        </w:tblCellMar>
        <w:tblLook w:val="0000"/>
      </w:tblPr>
      <w:tblGrid>
        <w:gridCol w:w="3060"/>
        <w:gridCol w:w="5580"/>
      </w:tblGrid>
      <w:tr w:rsidTr="002861FB">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t xml:space="preserve">The Range Statement relates to the Unit of Competency as a whole. It allows for different work environments and situations that may affect performance. </w:t>
            </w:r>
            <w:r w:rsidRPr="00A2638F">
              <w:rPr>
                <w:rStyle w:val="BoldandItalics"/>
              </w:rPr>
              <w:t>Bold italicised</w:t>
            </w:r>
            <w:r w:rsidRPr="00A2638F">
              <w:t xml:space="preserve"> wording in the Performance Criteria is detailed below.</w:t>
            </w:r>
          </w:p>
        </w:tc>
      </w:tr>
      <w:tr w:rsidTr="002861F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rPr>
                <w:rStyle w:val="BoldandItalics"/>
              </w:rPr>
              <w:t>Unpackaging requirements of ammunition or explosives</w:t>
            </w:r>
            <w:r w:rsidRPr="00A2638F">
              <w:t xml:space="preserve"> may require: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38F" w:rsidP="00A2638F">
            <w:pPr>
              <w:pStyle w:val="ListBullet"/>
            </w:pPr>
            <w:r w:rsidRPr="00A2638F">
              <w:t>Inspection of the ammunition/explosive ordnance container prior to unpackaging</w:t>
            </w:r>
          </w:p>
          <w:p w:rsidR="00000000" w:rsidRPr="00A2638F" w:rsidP="00A2638F">
            <w:pPr>
              <w:pStyle w:val="ListBullet"/>
            </w:pPr>
            <w:r w:rsidRPr="00A2638F">
              <w:t>Application of anti-static probes</w:t>
            </w:r>
          </w:p>
          <w:p w:rsidR="00000000" w:rsidRPr="00A2638F" w:rsidP="00A2638F">
            <w:pPr>
              <w:pStyle w:val="ListBullet"/>
            </w:pPr>
            <w:r w:rsidRPr="00A2638F">
              <w:t>Venting of the con</w:t>
            </w:r>
            <w:r w:rsidRPr="00A2638F">
              <w:t>tainer</w:t>
            </w:r>
          </w:p>
          <w:p w:rsidR="00000000" w:rsidP="00A2638F">
            <w:pPr>
              <w:pStyle w:val="ListBullet"/>
              <w:rPr>
                <w:lang w:val="en-NZ"/>
              </w:rPr>
            </w:pPr>
            <w:r w:rsidRPr="00A2638F">
              <w:t>Disposal of explosively contaminated materials or consumables</w:t>
            </w:r>
          </w:p>
        </w:tc>
      </w:tr>
      <w:tr w:rsidTr="002861F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rPr>
                <w:rStyle w:val="BoldandItalics"/>
              </w:rPr>
              <w:t xml:space="preserve">Organisation </w:t>
            </w:r>
            <w:r w:rsidRPr="00A2638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38F" w:rsidP="00A2638F">
            <w:pPr>
              <w:pStyle w:val="ListBullet"/>
            </w:pPr>
            <w:r w:rsidRPr="00A2638F">
              <w:t>Defence organisation</w:t>
            </w:r>
          </w:p>
          <w:p w:rsidR="00000000" w:rsidRPr="00A2638F" w:rsidP="00A2638F">
            <w:pPr>
              <w:pStyle w:val="ListBullet"/>
            </w:pPr>
            <w:r w:rsidRPr="00A2638F">
              <w:t>Other government departments or instrumentalities that work with explosive ordnance</w:t>
            </w:r>
          </w:p>
          <w:p w:rsidR="00000000" w:rsidP="00A2638F">
            <w:pPr>
              <w:pStyle w:val="ListBullet"/>
              <w:rPr>
                <w:lang w:val="en-NZ"/>
              </w:rPr>
            </w:pPr>
            <w:r w:rsidRPr="00A2638F">
              <w:t>Enterprises that work with explosive ordnance</w:t>
            </w:r>
          </w:p>
        </w:tc>
      </w:tr>
      <w:tr w:rsidTr="002861F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rPr>
                <w:rStyle w:val="BoldandItalics"/>
              </w:rPr>
              <w:t>Technical references</w:t>
            </w:r>
            <w:r w:rsidRPr="00A2638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38F" w:rsidP="00A2638F">
            <w:pPr>
              <w:pStyle w:val="ListBullet"/>
            </w:pPr>
            <w:r w:rsidRPr="00A2638F">
              <w:t>Technical drawings</w:t>
            </w:r>
          </w:p>
          <w:p w:rsidR="00000000" w:rsidRPr="00A2638F" w:rsidP="00A2638F">
            <w:pPr>
              <w:pStyle w:val="ListBullet"/>
            </w:pPr>
            <w:r w:rsidRPr="00A2638F">
              <w:t>Pamphlets</w:t>
            </w:r>
          </w:p>
          <w:p w:rsidR="00000000" w:rsidRPr="00A2638F" w:rsidP="00A2638F">
            <w:pPr>
              <w:pStyle w:val="ListBullet"/>
            </w:pPr>
            <w:r w:rsidRPr="00A2638F">
              <w:t>Publications</w:t>
            </w:r>
          </w:p>
          <w:p w:rsidR="00000000" w:rsidP="00A2638F">
            <w:pPr>
              <w:pStyle w:val="ListBullet"/>
              <w:rPr>
                <w:lang w:val="en-NZ"/>
              </w:rPr>
            </w:pPr>
            <w:r w:rsidRPr="00A2638F">
              <w:t>Orders and instructions</w:t>
            </w:r>
          </w:p>
        </w:tc>
      </w:tr>
      <w:tr w:rsidTr="002861F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rPr>
                <w:rStyle w:val="BoldandItalics"/>
              </w:rPr>
              <w:t>Net explosive quantities</w:t>
            </w:r>
            <w:r w:rsidRPr="00A2638F">
              <w:t xml:space="preserve">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ListBullet"/>
              <w:rPr>
                <w:lang w:val="en-NZ"/>
              </w:rPr>
            </w:pPr>
            <w:r w:rsidRPr="00A2638F">
              <w:t>Explosive capacity calculated in a wide range of activities related to the storage, distribution and maintenance of exp</w:t>
            </w:r>
            <w:r w:rsidRPr="00A2638F">
              <w:t>losive ordnance</w:t>
            </w:r>
          </w:p>
        </w:tc>
      </w:tr>
      <w:tr w:rsidTr="002861F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rPr>
                <w:rStyle w:val="BoldandItalics"/>
              </w:rPr>
              <w:t xml:space="preserve">Compatibility </w:t>
            </w:r>
            <w:r w:rsidRPr="00A2638F">
              <w:t>is:</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ListBullet"/>
              <w:rPr>
                <w:lang w:val="en-NZ"/>
              </w:rPr>
            </w:pPr>
            <w:r w:rsidRPr="00A2638F">
              <w:t>Assessed in a wide range of activities related to the storage, distribution and maintenance of explosive ordnance and other hazardous materials</w:t>
            </w:r>
          </w:p>
        </w:tc>
      </w:tr>
      <w:tr w:rsidTr="002861F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rPr>
                <w:rStyle w:val="BoldandItalics"/>
              </w:rPr>
              <w:t>Environmental conditions</w:t>
            </w:r>
            <w:r w:rsidRPr="00A2638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38F" w:rsidP="00A2638F">
            <w:pPr>
              <w:pStyle w:val="ListBullet"/>
            </w:pPr>
            <w:r w:rsidRPr="00A2638F">
              <w:t>Humidity</w:t>
            </w:r>
          </w:p>
          <w:p w:rsidR="00000000" w:rsidRPr="00A2638F" w:rsidP="00A2638F">
            <w:pPr>
              <w:pStyle w:val="ListBullet"/>
            </w:pPr>
            <w:r w:rsidRPr="00A2638F">
              <w:t>Pressure</w:t>
            </w:r>
          </w:p>
          <w:p w:rsidR="00000000" w:rsidP="00A2638F">
            <w:pPr>
              <w:pStyle w:val="ListBullet"/>
              <w:rPr>
                <w:lang w:val="en-NZ"/>
              </w:rPr>
            </w:pPr>
            <w:r w:rsidRPr="00A2638F">
              <w:t xml:space="preserve">Temperature </w:t>
            </w:r>
          </w:p>
        </w:tc>
      </w:tr>
      <w:tr w:rsidTr="002861F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rPr>
                <w:rStyle w:val="BoldandItalics"/>
              </w:rPr>
              <w:t xml:space="preserve">Calculations </w:t>
            </w:r>
            <w:r w:rsidRPr="00A2638F">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38F" w:rsidP="00A2638F">
            <w:pPr>
              <w:pStyle w:val="ListBullet"/>
            </w:pPr>
            <w:r w:rsidRPr="00A2638F">
              <w:t xml:space="preserve">Net explosive quantities </w:t>
            </w:r>
          </w:p>
          <w:p w:rsidR="00000000" w:rsidP="00A2638F">
            <w:pPr>
              <w:pStyle w:val="ListBullet"/>
              <w:rPr>
                <w:lang w:val="en-NZ"/>
              </w:rPr>
            </w:pPr>
            <w:r w:rsidRPr="00A2638F">
              <w:t>Compatibility</w:t>
            </w:r>
          </w:p>
        </w:tc>
      </w:tr>
      <w:tr w:rsidTr="002861FB">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2638F">
            <w:pPr>
              <w:pStyle w:val="BodyText"/>
              <w:rPr>
                <w:lang w:val="en-NZ"/>
              </w:rPr>
            </w:pPr>
            <w:r w:rsidRPr="00A2638F">
              <w:rPr>
                <w:rStyle w:val="BoldandItalics"/>
              </w:rPr>
              <w:t>Documentation and records</w:t>
            </w:r>
            <w:r w:rsidRPr="00A2638F">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2638F" w:rsidP="00A2638F">
            <w:pPr>
              <w:pStyle w:val="ListBullet"/>
            </w:pPr>
            <w:r w:rsidRPr="00A2638F">
              <w:t>Data cards</w:t>
            </w:r>
          </w:p>
          <w:p w:rsidR="00000000" w:rsidRPr="00A2638F" w:rsidP="00A2638F">
            <w:pPr>
              <w:pStyle w:val="ListBullet"/>
            </w:pPr>
            <w:r w:rsidRPr="00A2638F">
              <w:t>Receipt and issue records</w:t>
            </w:r>
          </w:p>
          <w:p w:rsidR="00000000" w:rsidRPr="00A2638F" w:rsidP="00A2638F">
            <w:pPr>
              <w:pStyle w:val="ListBullet"/>
            </w:pPr>
            <w:r w:rsidRPr="00A2638F">
              <w:t>Time sheets</w:t>
            </w:r>
          </w:p>
          <w:p w:rsidR="00000000" w:rsidRPr="00A2638F" w:rsidP="00A2638F">
            <w:pPr>
              <w:pStyle w:val="ListBullet"/>
            </w:pPr>
            <w:r w:rsidRPr="00A2638F">
              <w:t>UN numbers</w:t>
            </w:r>
          </w:p>
          <w:p w:rsidR="00000000" w:rsidRPr="00A2638F" w:rsidP="00A2638F">
            <w:pPr>
              <w:pStyle w:val="ListBullet"/>
            </w:pPr>
            <w:r w:rsidRPr="00A2638F">
              <w:t>Work records</w:t>
            </w:r>
          </w:p>
        </w:tc>
      </w:tr>
    </w:tbl>
    <w:p w:rsidR="00000000" w:rsidRPr="00A2638F" w:rsidP="00A2638F">
      <w:pPr>
        <w:pStyle w:val="BodyText"/>
      </w:pPr>
    </w:p>
    <w:p w:rsidR="00000000" w:rsidRPr="00A2638F" w:rsidP="00A2638F">
      <w:pPr>
        <w:pStyle w:val="AllowPageBreak"/>
      </w:pPr>
    </w:p>
    <w:p w:rsidR="00000000" w:rsidRPr="00A2638F" w:rsidP="00A2638F">
      <w:pPr>
        <w:pStyle w:val="Heading1"/>
      </w:pPr>
      <w:bookmarkStart w:id="12" w:name="O_518408"/>
      <w:bookmarkEnd w:id="12"/>
      <w:r w:rsidRPr="00A2638F">
        <w:t>Unit Sector(s)</w:t>
      </w:r>
    </w:p>
    <w:p w:rsidR="00000000" w:rsidRPr="00A2638F" w:rsidP="00A2638F">
      <w:pPr>
        <w:pStyle w:val="BodyText"/>
      </w:pPr>
      <w:r w:rsidRPr="00A2638F">
        <w:t>Not applicable.</w:t>
      </w:r>
    </w:p>
    <w:p w:rsidR="00000000" w:rsidRPr="00A2638F" w:rsidP="00A2638F"/>
    <w:sectPr w:rsidSect="00A263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3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38F" w:rsidRPr="002861FB" w:rsidP="002861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3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1FB" w:rsidP="00A263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861FB" w:rsidP="00A2638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2861FB" w:rsidP="00A263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3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38F" w:rsidRPr="002861FB" w:rsidP="002861F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63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1FB" w:rsidRPr="002D2AF8" w:rsidP="00A2638F">
    <w:pPr>
      <w:pStyle w:val="Header"/>
      <w:framePr w:wrap="around"/>
    </w:pPr>
    <w:r>
      <w:fldChar w:fldCharType="begin"/>
    </w:r>
    <w:r>
      <w:instrText xml:space="preserve"> TITLE   \* MERGEFORMAT </w:instrText>
    </w:r>
    <w:r>
      <w:fldChar w:fldCharType="separate"/>
    </w:r>
    <w:r>
      <w:t>DEFEO302D Unpackage ammunition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26/01/2013</w:t>
    </w:r>
    <w:r>
      <w:fldChar w:fldCharType="end"/>
    </w:r>
  </w:p>
  <w:p w:rsidR="002861FB" w:rsidP="00A263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CBAB7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5C4B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63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638F"/>
    <w:pPr>
      <w:spacing w:before="360" w:after="60"/>
      <w:outlineLvl w:val="0"/>
    </w:pPr>
    <w:rPr>
      <w:sz w:val="32"/>
    </w:rPr>
  </w:style>
  <w:style w:type="paragraph" w:styleId="Heading2">
    <w:name w:val="heading 2"/>
    <w:basedOn w:val="HeadingBase"/>
    <w:next w:val="BodyText"/>
    <w:link w:val="Heading2Char"/>
    <w:qFormat/>
    <w:rsid w:val="00A2638F"/>
    <w:pPr>
      <w:keepLines/>
      <w:spacing w:before="240" w:after="120"/>
      <w:outlineLvl w:val="1"/>
    </w:pPr>
    <w:rPr>
      <w:sz w:val="28"/>
      <w:szCs w:val="40"/>
    </w:rPr>
  </w:style>
  <w:style w:type="paragraph" w:styleId="Heading3">
    <w:name w:val="heading 3"/>
    <w:basedOn w:val="HeadingBase"/>
    <w:next w:val="BodyText"/>
    <w:link w:val="Heading3Char"/>
    <w:qFormat/>
    <w:rsid w:val="00A2638F"/>
    <w:pPr>
      <w:spacing w:before="180" w:after="120"/>
      <w:outlineLvl w:val="2"/>
    </w:pPr>
    <w:rPr>
      <w:spacing w:val="-10"/>
      <w:kern w:val="32"/>
    </w:rPr>
  </w:style>
  <w:style w:type="paragraph" w:styleId="Heading4">
    <w:name w:val="heading 4"/>
    <w:basedOn w:val="HeadingBase"/>
    <w:next w:val="BodyText"/>
    <w:link w:val="Heading4Char"/>
    <w:qFormat/>
    <w:rsid w:val="00A2638F"/>
    <w:pPr>
      <w:spacing w:before="160" w:after="120"/>
      <w:outlineLvl w:val="3"/>
    </w:pPr>
    <w:rPr>
      <w:sz w:val="22"/>
    </w:rPr>
  </w:style>
  <w:style w:type="paragraph" w:styleId="Heading5">
    <w:name w:val="heading 5"/>
    <w:basedOn w:val="HeadingBase"/>
    <w:next w:val="Normal"/>
    <w:link w:val="Heading5Char"/>
    <w:qFormat/>
    <w:rsid w:val="00A2638F"/>
    <w:pPr>
      <w:spacing w:before="80"/>
      <w:outlineLvl w:val="4"/>
    </w:pPr>
    <w:rPr>
      <w:color w:val="918585"/>
      <w:sz w:val="20"/>
    </w:rPr>
  </w:style>
  <w:style w:type="paragraph" w:styleId="Heading6">
    <w:name w:val="heading 6"/>
    <w:basedOn w:val="HeadingBase"/>
    <w:next w:val="Normal"/>
    <w:link w:val="Heading6Char"/>
    <w:qFormat/>
    <w:rsid w:val="00A2638F"/>
    <w:pPr>
      <w:spacing w:before="60"/>
      <w:outlineLvl w:val="5"/>
    </w:pPr>
    <w:rPr>
      <w:color w:val="918585"/>
      <w:sz w:val="20"/>
    </w:rPr>
  </w:style>
  <w:style w:type="paragraph" w:styleId="Heading7">
    <w:name w:val="heading 7"/>
    <w:basedOn w:val="Normal"/>
    <w:next w:val="Normal"/>
    <w:link w:val="Heading7Char"/>
    <w:qFormat/>
    <w:rsid w:val="00A2638F"/>
    <w:pPr>
      <w:ind w:left="720"/>
      <w:outlineLvl w:val="6"/>
    </w:pPr>
    <w:rPr>
      <w:i/>
    </w:rPr>
  </w:style>
  <w:style w:type="paragraph" w:styleId="Heading8">
    <w:name w:val="heading 8"/>
    <w:basedOn w:val="Normal"/>
    <w:next w:val="Normal"/>
    <w:link w:val="Heading8Char"/>
    <w:qFormat/>
    <w:rsid w:val="00A2638F"/>
    <w:pPr>
      <w:ind w:left="720"/>
      <w:outlineLvl w:val="7"/>
    </w:pPr>
    <w:rPr>
      <w:i/>
    </w:rPr>
  </w:style>
  <w:style w:type="paragraph" w:styleId="Heading9">
    <w:name w:val="heading 9"/>
    <w:basedOn w:val="Normal"/>
    <w:next w:val="Normal"/>
    <w:link w:val="Heading9Char"/>
    <w:qFormat/>
    <w:rsid w:val="00A2638F"/>
    <w:pPr>
      <w:ind w:left="720"/>
      <w:outlineLvl w:val="8"/>
    </w:pPr>
    <w:rPr>
      <w:i/>
    </w:rPr>
  </w:style>
  <w:style w:type="character" w:default="1" w:styleId="DefaultParagraphFont">
    <w:name w:val="Default Paragraph Font"/>
    <w:uiPriority w:val="1"/>
    <w:unhideWhenUsed/>
    <w:rsid w:val="00A263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638F"/>
  </w:style>
  <w:style w:type="character" w:customStyle="1" w:styleId="Heading1Char">
    <w:name w:val="Heading 1 Char"/>
    <w:basedOn w:val="DefaultParagraphFont"/>
    <w:link w:val="Heading1"/>
    <w:rsid w:val="00A2638F"/>
    <w:rPr>
      <w:rFonts w:ascii="Times New Roman" w:eastAsia="Times New Roman" w:hAnsi="Times New Roman" w:cs="Times New Roman"/>
      <w:b/>
      <w:sz w:val="32"/>
      <w:szCs w:val="20"/>
      <w:lang w:eastAsia="en-US"/>
    </w:rPr>
  </w:style>
  <w:style w:type="paragraph" w:styleId="BodyText">
    <w:name w:val="Body Text"/>
    <w:basedOn w:val="Normal"/>
    <w:link w:val="BodyTextChar"/>
    <w:rsid w:val="00A263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638F"/>
    <w:rPr>
      <w:rFonts w:ascii="Times New Roman" w:eastAsia="Times New Roman" w:hAnsi="Times New Roman" w:cs="Times New Roman"/>
      <w:sz w:val="24"/>
      <w:lang w:eastAsia="en-US"/>
    </w:rPr>
  </w:style>
  <w:style w:type="paragraph" w:styleId="List">
    <w:name w:val="List"/>
    <w:basedOn w:val="BodyText"/>
    <w:next w:val="BodyText"/>
    <w:rsid w:val="00A2638F"/>
    <w:pPr>
      <w:tabs>
        <w:tab w:val="left" w:pos="340"/>
      </w:tabs>
      <w:spacing w:before="60" w:after="60"/>
      <w:ind w:left="340" w:hanging="340"/>
    </w:pPr>
  </w:style>
  <w:style w:type="paragraph" w:styleId="ListBullet">
    <w:name w:val="List Bullet"/>
    <w:basedOn w:val="List"/>
    <w:rsid w:val="00A2638F"/>
    <w:pPr>
      <w:numPr>
        <w:numId w:val="12"/>
      </w:numPr>
      <w:tabs>
        <w:tab w:val="clear" w:pos="340"/>
      </w:tabs>
      <w:spacing w:before="40" w:after="40"/>
    </w:pPr>
  </w:style>
  <w:style w:type="character" w:customStyle="1" w:styleId="SpecialBold">
    <w:name w:val="Special Bold"/>
    <w:basedOn w:val="DefaultParagraphFont"/>
    <w:rsid w:val="00A2638F"/>
    <w:rPr>
      <w:b/>
      <w:spacing w:val="0"/>
    </w:rPr>
  </w:style>
  <w:style w:type="paragraph" w:customStyle="1" w:styleId="SuperHeading">
    <w:name w:val="SuperHeading"/>
    <w:basedOn w:val="Normal"/>
    <w:rsid w:val="00A2638F"/>
    <w:pPr>
      <w:spacing w:before="240" w:after="120"/>
      <w:outlineLvl w:val="0"/>
    </w:pPr>
    <w:rPr>
      <w:rFonts w:ascii="Times New Roman" w:hAnsi="Times New Roman"/>
      <w:b/>
      <w:sz w:val="32"/>
    </w:rPr>
  </w:style>
  <w:style w:type="paragraph" w:customStyle="1" w:styleId="AllowPageBreak">
    <w:name w:val="AllowPageBreak"/>
    <w:rsid w:val="00A263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2638F"/>
    <w:rPr>
      <w:b/>
      <w:i/>
      <w:u w:val="none"/>
    </w:rPr>
  </w:style>
  <w:style w:type="character" w:customStyle="1" w:styleId="Heading2Char">
    <w:name w:val="Heading 2 Char"/>
    <w:basedOn w:val="DefaultParagraphFont"/>
    <w:link w:val="Heading2"/>
    <w:rsid w:val="00A263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63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63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63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63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63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63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638F"/>
    <w:rPr>
      <w:rFonts w:ascii="Courier New" w:eastAsia="Times New Roman" w:hAnsi="Courier New" w:cs="Times New Roman"/>
      <w:i/>
      <w:szCs w:val="20"/>
      <w:lang w:eastAsia="en-US"/>
    </w:rPr>
  </w:style>
  <w:style w:type="paragraph" w:customStyle="1" w:styleId="HeadingBase">
    <w:name w:val="Heading Base"/>
    <w:rsid w:val="00A263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638F"/>
    <w:pPr>
      <w:tabs>
        <w:tab w:val="right" w:leader="dot" w:pos="9072"/>
      </w:tabs>
      <w:ind w:left="567"/>
    </w:pPr>
    <w:rPr>
      <w:szCs w:val="22"/>
    </w:rPr>
  </w:style>
  <w:style w:type="paragraph" w:customStyle="1" w:styleId="TOCBase">
    <w:name w:val="TOC Base"/>
    <w:rsid w:val="00A263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638F"/>
    <w:pPr>
      <w:tabs>
        <w:tab w:val="right" w:leader="dot" w:pos="9072"/>
      </w:tabs>
      <w:spacing w:before="40" w:after="40"/>
      <w:ind w:left="284"/>
    </w:pPr>
    <w:rPr>
      <w:rFonts w:ascii="Times New Roman" w:hAnsi="Times New Roman"/>
    </w:rPr>
  </w:style>
  <w:style w:type="paragraph" w:styleId="TOC1">
    <w:name w:val="toc 1"/>
    <w:basedOn w:val="TOCBase"/>
    <w:next w:val="Normal"/>
    <w:rsid w:val="00A263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63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638F"/>
    <w:rPr>
      <w:rFonts w:ascii="Times New Roman" w:eastAsia="Times New Roman" w:hAnsi="Times New Roman" w:cs="Times New Roman"/>
      <w:sz w:val="16"/>
      <w:lang w:eastAsia="en-US"/>
    </w:rPr>
  </w:style>
  <w:style w:type="paragraph" w:styleId="Title">
    <w:name w:val="Title"/>
    <w:basedOn w:val="HeadingBase"/>
    <w:link w:val="TitleChar"/>
    <w:qFormat/>
    <w:rsid w:val="00A2638F"/>
    <w:pPr>
      <w:spacing w:before="5040"/>
      <w:jc w:val="center"/>
    </w:pPr>
    <w:rPr>
      <w:sz w:val="48"/>
      <w:szCs w:val="72"/>
      <w:lang w:val="en-US"/>
    </w:rPr>
  </w:style>
  <w:style w:type="character" w:customStyle="1" w:styleId="TitleChar">
    <w:name w:val="Title Char"/>
    <w:basedOn w:val="DefaultParagraphFont"/>
    <w:link w:val="Title"/>
    <w:rsid w:val="00A263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638F"/>
    <w:pPr>
      <w:tabs>
        <w:tab w:val="left" w:pos="3600"/>
        <w:tab w:val="left" w:pos="3958"/>
      </w:tabs>
    </w:pPr>
  </w:style>
  <w:style w:type="paragraph" w:customStyle="1" w:styleId="Note">
    <w:name w:val="Note"/>
    <w:basedOn w:val="BodyText"/>
    <w:rsid w:val="00A263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638F"/>
    <w:pPr>
      <w:framePr w:wrap="auto" w:hAnchor="text" w:y="6049"/>
    </w:pPr>
    <w:rPr>
      <w:color w:val="000000"/>
      <w:sz w:val="40"/>
    </w:rPr>
  </w:style>
  <w:style w:type="paragraph" w:customStyle="1" w:styleId="TOCTitle">
    <w:name w:val="TOCTitle"/>
    <w:basedOn w:val="Heading1"/>
    <w:rsid w:val="00A2638F"/>
    <w:pPr>
      <w:spacing w:after="240"/>
      <w:jc w:val="center"/>
      <w:outlineLvl w:val="9"/>
    </w:pPr>
    <w:rPr>
      <w:caps/>
    </w:rPr>
  </w:style>
  <w:style w:type="paragraph" w:customStyle="1" w:styleId="Version">
    <w:name w:val="Version"/>
    <w:rsid w:val="00A263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638F"/>
    <w:pPr>
      <w:numPr>
        <w:numId w:val="13"/>
      </w:numPr>
      <w:tabs>
        <w:tab w:val="clear" w:pos="680"/>
      </w:tabs>
    </w:pPr>
  </w:style>
  <w:style w:type="paragraph" w:styleId="Index1">
    <w:name w:val="index 1"/>
    <w:basedOn w:val="Normal"/>
    <w:next w:val="Normal"/>
    <w:semiHidden/>
    <w:rsid w:val="00A2638F"/>
    <w:pPr>
      <w:keepNext w:val="0"/>
      <w:tabs>
        <w:tab w:val="right" w:pos="4176"/>
      </w:tabs>
      <w:ind w:left="198" w:hanging="198"/>
    </w:pPr>
    <w:rPr>
      <w:rFonts w:ascii="Garamond" w:hAnsi="Garamond"/>
    </w:rPr>
  </w:style>
  <w:style w:type="paragraph" w:styleId="IndexHeading">
    <w:name w:val="index heading"/>
    <w:basedOn w:val="Normal"/>
    <w:next w:val="Index1"/>
    <w:semiHidden/>
    <w:rsid w:val="00A2638F"/>
    <w:pPr>
      <w:spacing w:before="120" w:after="120"/>
    </w:pPr>
    <w:rPr>
      <w:rFonts w:ascii="Arial" w:hAnsi="Arial"/>
      <w:b/>
      <w:color w:val="918585"/>
      <w:sz w:val="24"/>
    </w:rPr>
  </w:style>
  <w:style w:type="paragraph" w:styleId="Header">
    <w:name w:val="header"/>
    <w:basedOn w:val="Normal"/>
    <w:link w:val="HeaderChar"/>
    <w:rsid w:val="00A263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638F"/>
    <w:rPr>
      <w:rFonts w:ascii="Times New Roman" w:eastAsia="Times New Roman" w:hAnsi="Times New Roman" w:cs="Times New Roman"/>
      <w:sz w:val="16"/>
      <w:szCs w:val="20"/>
      <w:lang w:val="en-GB" w:eastAsia="en-US"/>
    </w:rPr>
  </w:style>
  <w:style w:type="paragraph" w:customStyle="1" w:styleId="Chapter">
    <w:name w:val="Chapter"/>
    <w:basedOn w:val="Normal"/>
    <w:rsid w:val="00A2638F"/>
    <w:pPr>
      <w:spacing w:before="240"/>
    </w:pPr>
    <w:rPr>
      <w:rFonts w:ascii="Times New Roman" w:hAnsi="Times New Roman"/>
      <w:smallCaps/>
      <w:spacing w:val="80"/>
      <w:sz w:val="28"/>
    </w:rPr>
  </w:style>
  <w:style w:type="paragraph" w:customStyle="1" w:styleId="InChapter">
    <w:name w:val="InChapter"/>
    <w:basedOn w:val="Heading3"/>
    <w:rsid w:val="00A2638F"/>
    <w:pPr>
      <w:spacing w:after="240"/>
      <w:outlineLvl w:val="9"/>
    </w:pPr>
    <w:rPr>
      <w:noProof/>
    </w:rPr>
  </w:style>
  <w:style w:type="paragraph" w:styleId="Index2">
    <w:name w:val="index 2"/>
    <w:basedOn w:val="Normal"/>
    <w:next w:val="Normal"/>
    <w:semiHidden/>
    <w:rsid w:val="00A2638F"/>
    <w:pPr>
      <w:tabs>
        <w:tab w:val="right" w:pos="4176"/>
      </w:tabs>
      <w:ind w:left="568" w:hanging="284"/>
    </w:pPr>
    <w:rPr>
      <w:rFonts w:ascii="Garamond" w:hAnsi="Garamond"/>
    </w:rPr>
  </w:style>
  <w:style w:type="paragraph" w:customStyle="1" w:styleId="Byline">
    <w:name w:val="Byline"/>
    <w:rsid w:val="00A263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638F"/>
    <w:pPr>
      <w:tabs>
        <w:tab w:val="clear" w:pos="3600"/>
        <w:tab w:val="clear" w:pos="3958"/>
      </w:tabs>
      <w:jc w:val="right"/>
    </w:pPr>
  </w:style>
  <w:style w:type="character" w:styleId="Emphasis">
    <w:name w:val="Emphasis"/>
    <w:basedOn w:val="DefaultParagraphFont"/>
    <w:qFormat/>
    <w:rsid w:val="00A2638F"/>
    <w:rPr>
      <w:i/>
    </w:rPr>
  </w:style>
  <w:style w:type="paragraph" w:styleId="Caption">
    <w:name w:val="caption"/>
    <w:basedOn w:val="BodyText"/>
    <w:next w:val="Normal"/>
    <w:qFormat/>
    <w:rsid w:val="00A2638F"/>
    <w:pPr>
      <w:framePr w:w="2268" w:hSpace="181" w:vSpace="181" w:wrap="around" w:vAnchor="text" w:hAnchor="page" w:x="1135" w:y="285" w:anchorLock="1"/>
    </w:pPr>
    <w:rPr>
      <w:i/>
    </w:rPr>
  </w:style>
  <w:style w:type="paragraph" w:customStyle="1" w:styleId="MiniTOCTitle">
    <w:name w:val="MiniTOCTitle"/>
    <w:basedOn w:val="Heading4"/>
    <w:rsid w:val="00A2638F"/>
    <w:pPr>
      <w:spacing w:before="240"/>
      <w:outlineLvl w:val="9"/>
    </w:pPr>
    <w:rPr>
      <w:noProof/>
      <w:sz w:val="24"/>
    </w:rPr>
  </w:style>
  <w:style w:type="paragraph" w:customStyle="1" w:styleId="MiniTOCItem">
    <w:name w:val="MiniTOCItem"/>
    <w:basedOn w:val="ListBullet"/>
    <w:rsid w:val="00A2638F"/>
    <w:pPr>
      <w:numPr>
        <w:numId w:val="0"/>
      </w:numPr>
      <w:tabs>
        <w:tab w:val="right" w:leader="dot" w:pos="6521"/>
      </w:tabs>
      <w:spacing w:before="0" w:after="0"/>
    </w:pPr>
  </w:style>
  <w:style w:type="paragraph" w:customStyle="1" w:styleId="TOFTitle">
    <w:name w:val="TOFTitle"/>
    <w:basedOn w:val="TOCTitle"/>
    <w:rsid w:val="00A2638F"/>
  </w:style>
  <w:style w:type="paragraph" w:styleId="TableofFigures">
    <w:name w:val="table of figures"/>
    <w:basedOn w:val="Normal"/>
    <w:next w:val="Normal"/>
    <w:semiHidden/>
    <w:rsid w:val="00A2638F"/>
    <w:pPr>
      <w:tabs>
        <w:tab w:val="right" w:leader="dot" w:pos="9072"/>
      </w:tabs>
      <w:ind w:left="970" w:hanging="403"/>
    </w:pPr>
    <w:rPr>
      <w:rFonts w:ascii="Times New Roman" w:hAnsi="Times New Roman"/>
      <w:b/>
    </w:rPr>
  </w:style>
  <w:style w:type="paragraph" w:styleId="ListNumber">
    <w:name w:val="List Number"/>
    <w:basedOn w:val="List"/>
    <w:rsid w:val="00A2638F"/>
    <w:pPr>
      <w:numPr>
        <w:numId w:val="10"/>
      </w:numPr>
    </w:pPr>
  </w:style>
  <w:style w:type="character" w:customStyle="1" w:styleId="WingdingSymbols">
    <w:name w:val="Wingding Symbols"/>
    <w:rsid w:val="00A2638F"/>
    <w:rPr>
      <w:rFonts w:ascii="Wingdings" w:hAnsi="Wingdings"/>
    </w:rPr>
  </w:style>
  <w:style w:type="paragraph" w:customStyle="1" w:styleId="TableHeading">
    <w:name w:val="Table Heading"/>
    <w:basedOn w:val="HeadingBase"/>
    <w:rsid w:val="00A2638F"/>
    <w:pPr>
      <w:keepLines/>
      <w:pBdr>
        <w:bottom w:val="single" w:sz="6" w:space="1" w:color="918585"/>
      </w:pBdr>
      <w:spacing w:before="240"/>
    </w:pPr>
  </w:style>
  <w:style w:type="character" w:customStyle="1" w:styleId="HotSpot">
    <w:name w:val="HotSpot"/>
    <w:rsid w:val="00A2638F"/>
    <w:rPr>
      <w:color w:val="0033CC"/>
      <w:u w:val="none"/>
    </w:rPr>
  </w:style>
  <w:style w:type="paragraph" w:customStyle="1" w:styleId="BodyTextRight">
    <w:name w:val="Body Text Right"/>
    <w:basedOn w:val="BodyText"/>
    <w:rsid w:val="00A2638F"/>
    <w:pPr>
      <w:spacing w:before="0" w:after="0"/>
      <w:jc w:val="right"/>
    </w:pPr>
  </w:style>
  <w:style w:type="paragraph" w:styleId="Index3">
    <w:name w:val="index 3"/>
    <w:basedOn w:val="ListNumber2"/>
    <w:next w:val="Normal"/>
    <w:semiHidden/>
    <w:rsid w:val="00A2638F"/>
    <w:pPr>
      <w:numPr>
        <w:numId w:val="0"/>
      </w:numPr>
      <w:tabs>
        <w:tab w:val="right" w:leader="dot" w:pos="4176"/>
      </w:tabs>
    </w:pPr>
  </w:style>
  <w:style w:type="paragraph" w:styleId="ListNumber2">
    <w:name w:val="List Number 2"/>
    <w:basedOn w:val="List2"/>
    <w:rsid w:val="00A2638F"/>
    <w:pPr>
      <w:numPr>
        <w:numId w:val="9"/>
      </w:numPr>
      <w:tabs>
        <w:tab w:val="clear" w:pos="1060"/>
      </w:tabs>
    </w:pPr>
  </w:style>
  <w:style w:type="paragraph" w:customStyle="1" w:styleId="MarginNote">
    <w:name w:val="Margin Note"/>
    <w:basedOn w:val="BodyText"/>
    <w:rsid w:val="00A263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63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63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638F"/>
    <w:rPr>
      <w:sz w:val="32"/>
    </w:rPr>
  </w:style>
  <w:style w:type="paragraph" w:customStyle="1" w:styleId="HeadingProcedure">
    <w:name w:val="Heading Procedure"/>
    <w:basedOn w:val="HeadingBase"/>
    <w:next w:val="Normal"/>
    <w:rsid w:val="00A2638F"/>
    <w:pPr>
      <w:tabs>
        <w:tab w:val="left" w:pos="0"/>
      </w:tabs>
      <w:spacing w:before="120" w:after="60"/>
    </w:pPr>
    <w:rPr>
      <w:i/>
      <w:color w:val="918585"/>
      <w:sz w:val="22"/>
    </w:rPr>
  </w:style>
  <w:style w:type="paragraph" w:customStyle="1" w:styleId="TableBodyText">
    <w:name w:val="Table Body Text"/>
    <w:basedOn w:val="BodyText"/>
    <w:rsid w:val="00A2638F"/>
    <w:pPr>
      <w:spacing w:before="60" w:after="60"/>
    </w:pPr>
  </w:style>
  <w:style w:type="paragraph" w:styleId="ListContinue">
    <w:name w:val="List Continue"/>
    <w:basedOn w:val="List"/>
    <w:rsid w:val="00A2638F"/>
    <w:pPr>
      <w:ind w:firstLine="0"/>
    </w:pPr>
  </w:style>
  <w:style w:type="paragraph" w:customStyle="1" w:styleId="ListNote">
    <w:name w:val="List Note"/>
    <w:basedOn w:val="List"/>
    <w:rsid w:val="00A2638F"/>
    <w:pPr>
      <w:pBdr>
        <w:top w:val="single" w:sz="6" w:space="2" w:color="918585"/>
        <w:bottom w:val="single" w:sz="6" w:space="2" w:color="918585"/>
      </w:pBdr>
      <w:tabs>
        <w:tab w:val="left" w:pos="1021"/>
      </w:tabs>
      <w:ind w:firstLine="0"/>
    </w:pPr>
  </w:style>
  <w:style w:type="paragraph" w:customStyle="1" w:styleId="Warning">
    <w:name w:val="Warning"/>
    <w:basedOn w:val="BodyText"/>
    <w:rsid w:val="00A2638F"/>
    <w:pPr>
      <w:shd w:val="clear" w:color="auto" w:fill="D9D9D9"/>
      <w:tabs>
        <w:tab w:val="left" w:pos="992"/>
      </w:tabs>
      <w:ind w:left="119" w:right="119"/>
    </w:pPr>
    <w:rPr>
      <w:sz w:val="20"/>
    </w:rPr>
  </w:style>
  <w:style w:type="paragraph" w:customStyle="1" w:styleId="MarginIcons">
    <w:name w:val="Margin Icons"/>
    <w:basedOn w:val="BodyText"/>
    <w:rsid w:val="00A263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638F"/>
    <w:rPr>
      <w:rFonts w:ascii="Courier New" w:hAnsi="Courier New"/>
    </w:rPr>
  </w:style>
  <w:style w:type="paragraph" w:customStyle="1" w:styleId="NoteBullet">
    <w:name w:val="Note Bullet"/>
    <w:basedOn w:val="Note"/>
    <w:rsid w:val="00A2638F"/>
    <w:pPr>
      <w:tabs>
        <w:tab w:val="clear" w:pos="680"/>
      </w:tabs>
      <w:spacing w:before="60" w:after="60"/>
    </w:pPr>
  </w:style>
  <w:style w:type="paragraph" w:customStyle="1" w:styleId="SubHeading2">
    <w:name w:val="SubHeading2"/>
    <w:basedOn w:val="HeadingBase"/>
    <w:rsid w:val="00A2638F"/>
    <w:pPr>
      <w:spacing w:before="240" w:after="60"/>
    </w:pPr>
    <w:rPr>
      <w:sz w:val="20"/>
    </w:rPr>
  </w:style>
  <w:style w:type="paragraph" w:customStyle="1" w:styleId="SubHeading1">
    <w:name w:val="SubHeading1"/>
    <w:basedOn w:val="HeadingBase"/>
    <w:rsid w:val="00A2638F"/>
    <w:pPr>
      <w:spacing w:before="240" w:after="60"/>
    </w:pPr>
    <w:rPr>
      <w:color w:val="918585"/>
      <w:sz w:val="22"/>
    </w:rPr>
  </w:style>
  <w:style w:type="paragraph" w:customStyle="1" w:styleId="SideHeading">
    <w:name w:val="Side Heading"/>
    <w:basedOn w:val="HeadingBase"/>
    <w:rsid w:val="00A263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638F"/>
    <w:pPr>
      <w:tabs>
        <w:tab w:val="num" w:pos="360"/>
      </w:tabs>
    </w:pPr>
  </w:style>
  <w:style w:type="paragraph" w:styleId="PlainText">
    <w:name w:val="Plain Text"/>
    <w:basedOn w:val="Normal"/>
    <w:link w:val="PlainTextChar"/>
    <w:rsid w:val="00A2638F"/>
    <w:rPr>
      <w:sz w:val="20"/>
    </w:rPr>
  </w:style>
  <w:style w:type="character" w:customStyle="1" w:styleId="PlainTextChar">
    <w:name w:val="Plain Text Char"/>
    <w:basedOn w:val="DefaultParagraphFont"/>
    <w:link w:val="PlainText"/>
    <w:rsid w:val="00A2638F"/>
    <w:rPr>
      <w:rFonts w:ascii="Courier New" w:eastAsia="Times New Roman" w:hAnsi="Courier New" w:cs="Times New Roman"/>
      <w:sz w:val="20"/>
      <w:szCs w:val="20"/>
      <w:lang w:eastAsia="en-US"/>
    </w:rPr>
  </w:style>
  <w:style w:type="character" w:customStyle="1" w:styleId="MenuOption">
    <w:name w:val="Menu Option"/>
    <w:basedOn w:val="DefaultParagraphFont"/>
    <w:rsid w:val="00A2638F"/>
    <w:rPr>
      <w:b/>
      <w:smallCaps/>
    </w:rPr>
  </w:style>
  <w:style w:type="paragraph" w:customStyle="1" w:styleId="TableListNumber">
    <w:name w:val="Table List Number"/>
    <w:basedOn w:val="ListNumber"/>
    <w:rsid w:val="00A2638F"/>
    <w:pPr>
      <w:numPr>
        <w:numId w:val="0"/>
      </w:numPr>
    </w:pPr>
  </w:style>
  <w:style w:type="paragraph" w:styleId="TOC4">
    <w:name w:val="toc 4"/>
    <w:basedOn w:val="TOCBase"/>
    <w:next w:val="Normal"/>
    <w:semiHidden/>
    <w:rsid w:val="00A2638F"/>
    <w:pPr>
      <w:tabs>
        <w:tab w:val="right" w:leader="dot" w:pos="9071"/>
      </w:tabs>
      <w:ind w:left="1701"/>
    </w:pPr>
  </w:style>
  <w:style w:type="paragraph" w:customStyle="1" w:styleId="ListAlpha">
    <w:name w:val="List Alpha"/>
    <w:basedOn w:val="List"/>
    <w:rsid w:val="00A2638F"/>
    <w:pPr>
      <w:numPr>
        <w:numId w:val="8"/>
      </w:numPr>
    </w:pPr>
  </w:style>
  <w:style w:type="paragraph" w:customStyle="1" w:styleId="ListAlpha2">
    <w:name w:val="List Alpha 2"/>
    <w:basedOn w:val="List2"/>
    <w:rsid w:val="00A2638F"/>
    <w:pPr>
      <w:numPr>
        <w:numId w:val="7"/>
      </w:numPr>
    </w:pPr>
  </w:style>
  <w:style w:type="paragraph" w:styleId="List2">
    <w:name w:val="List 2"/>
    <w:basedOn w:val="BodyText"/>
    <w:rsid w:val="00A2638F"/>
    <w:pPr>
      <w:tabs>
        <w:tab w:val="left" w:pos="680"/>
      </w:tabs>
      <w:spacing w:before="60" w:after="60"/>
      <w:ind w:left="680" w:hanging="340"/>
    </w:pPr>
  </w:style>
  <w:style w:type="paragraph" w:styleId="List3">
    <w:name w:val="List 3"/>
    <w:basedOn w:val="BodyText"/>
    <w:rsid w:val="00A2638F"/>
    <w:pPr>
      <w:tabs>
        <w:tab w:val="left" w:pos="1021"/>
      </w:tabs>
      <w:spacing w:before="60" w:after="60"/>
      <w:ind w:left="1020" w:hanging="340"/>
    </w:pPr>
  </w:style>
  <w:style w:type="paragraph" w:styleId="List4">
    <w:name w:val="List 4"/>
    <w:basedOn w:val="BodyText"/>
    <w:rsid w:val="00A2638F"/>
    <w:pPr>
      <w:tabs>
        <w:tab w:val="left" w:pos="1361"/>
      </w:tabs>
      <w:spacing w:before="60" w:after="60"/>
      <w:ind w:left="1361" w:hanging="340"/>
    </w:pPr>
  </w:style>
  <w:style w:type="paragraph" w:styleId="List5">
    <w:name w:val="List 5"/>
    <w:basedOn w:val="BodyText"/>
    <w:rsid w:val="00A2638F"/>
    <w:pPr>
      <w:tabs>
        <w:tab w:val="left" w:pos="1701"/>
      </w:tabs>
      <w:spacing w:before="60" w:after="60"/>
      <w:ind w:left="1701" w:hanging="340"/>
    </w:pPr>
  </w:style>
  <w:style w:type="paragraph" w:styleId="ListBullet3">
    <w:name w:val="List Bullet 3"/>
    <w:basedOn w:val="List3"/>
    <w:rsid w:val="00A2638F"/>
    <w:pPr>
      <w:numPr>
        <w:numId w:val="14"/>
      </w:numPr>
      <w:tabs>
        <w:tab w:val="clear" w:pos="1021"/>
      </w:tabs>
      <w:ind w:left="1037" w:hanging="357"/>
    </w:pPr>
  </w:style>
  <w:style w:type="paragraph" w:styleId="ListBullet4">
    <w:name w:val="List Bullet 4"/>
    <w:basedOn w:val="List4"/>
    <w:rsid w:val="00A2638F"/>
    <w:pPr>
      <w:numPr>
        <w:numId w:val="2"/>
      </w:numPr>
    </w:pPr>
  </w:style>
  <w:style w:type="paragraph" w:styleId="ListBullet5">
    <w:name w:val="List Bullet 5"/>
    <w:basedOn w:val="List5"/>
    <w:rsid w:val="00A2638F"/>
    <w:pPr>
      <w:numPr>
        <w:numId w:val="3"/>
      </w:numPr>
    </w:pPr>
  </w:style>
  <w:style w:type="paragraph" w:styleId="ListContinue2">
    <w:name w:val="List Continue 2"/>
    <w:basedOn w:val="List2"/>
    <w:rsid w:val="00A2638F"/>
    <w:pPr>
      <w:ind w:firstLine="0"/>
    </w:pPr>
  </w:style>
  <w:style w:type="paragraph" w:styleId="ListContinue3">
    <w:name w:val="List Continue 3"/>
    <w:basedOn w:val="List3"/>
    <w:rsid w:val="00A2638F"/>
    <w:pPr>
      <w:ind w:left="1021" w:firstLine="0"/>
    </w:pPr>
  </w:style>
  <w:style w:type="paragraph" w:styleId="ListContinue4">
    <w:name w:val="List Continue 4"/>
    <w:basedOn w:val="List4"/>
    <w:rsid w:val="00A2638F"/>
    <w:pPr>
      <w:ind w:firstLine="0"/>
    </w:pPr>
  </w:style>
  <w:style w:type="paragraph" w:styleId="ListContinue5">
    <w:name w:val="List Continue 5"/>
    <w:basedOn w:val="List5"/>
    <w:rsid w:val="00A2638F"/>
    <w:pPr>
      <w:ind w:firstLine="0"/>
    </w:pPr>
  </w:style>
  <w:style w:type="paragraph" w:styleId="ListNumber3">
    <w:name w:val="List Number 3"/>
    <w:basedOn w:val="List3"/>
    <w:rsid w:val="00A2638F"/>
    <w:pPr>
      <w:numPr>
        <w:numId w:val="4"/>
      </w:numPr>
    </w:pPr>
  </w:style>
  <w:style w:type="paragraph" w:styleId="ListNumber4">
    <w:name w:val="List Number 4"/>
    <w:basedOn w:val="List4"/>
    <w:rsid w:val="00A2638F"/>
    <w:pPr>
      <w:numPr>
        <w:numId w:val="5"/>
      </w:numPr>
    </w:pPr>
  </w:style>
  <w:style w:type="paragraph" w:styleId="ListNumber5">
    <w:name w:val="List Number 5"/>
    <w:basedOn w:val="List5"/>
    <w:rsid w:val="00A2638F"/>
    <w:pPr>
      <w:numPr>
        <w:numId w:val="6"/>
      </w:numPr>
    </w:pPr>
  </w:style>
  <w:style w:type="paragraph" w:styleId="BlockText">
    <w:name w:val="Block Text"/>
    <w:basedOn w:val="Normal"/>
    <w:rsid w:val="00A2638F"/>
    <w:pPr>
      <w:spacing w:after="120"/>
      <w:ind w:left="1440" w:right="1440"/>
    </w:pPr>
  </w:style>
  <w:style w:type="character" w:customStyle="1" w:styleId="Subscript">
    <w:name w:val="Subscript"/>
    <w:basedOn w:val="DefaultParagraphFont"/>
    <w:rsid w:val="00A2638F"/>
    <w:rPr>
      <w:sz w:val="16"/>
      <w:vertAlign w:val="subscript"/>
    </w:rPr>
  </w:style>
  <w:style w:type="character" w:customStyle="1" w:styleId="Superscript">
    <w:name w:val="Superscript"/>
    <w:basedOn w:val="DefaultParagraphFont"/>
    <w:rsid w:val="00A2638F"/>
    <w:rPr>
      <w:sz w:val="16"/>
      <w:vertAlign w:val="superscript"/>
    </w:rPr>
  </w:style>
  <w:style w:type="character" w:customStyle="1" w:styleId="Symbols">
    <w:name w:val="Symbols"/>
    <w:basedOn w:val="DefaultParagraphFont"/>
    <w:rsid w:val="00A2638F"/>
    <w:rPr>
      <w:rFonts w:ascii="Symbol" w:hAnsi="Symbol"/>
    </w:rPr>
  </w:style>
  <w:style w:type="character" w:customStyle="1" w:styleId="MenuOptions">
    <w:name w:val="Menu Options"/>
    <w:basedOn w:val="DefaultParagraphFont"/>
    <w:rsid w:val="00A2638F"/>
    <w:rPr>
      <w:rFonts w:ascii="Arial Narrow" w:hAnsi="Arial Narrow"/>
      <w:smallCaps/>
    </w:rPr>
  </w:style>
  <w:style w:type="character" w:customStyle="1" w:styleId="Buttons">
    <w:name w:val="Buttons"/>
    <w:basedOn w:val="DefaultParagraphFont"/>
    <w:rsid w:val="00A2638F"/>
    <w:rPr>
      <w:b/>
    </w:rPr>
  </w:style>
  <w:style w:type="character" w:customStyle="1" w:styleId="Underlined">
    <w:name w:val="Underlined"/>
    <w:basedOn w:val="DefaultParagraphFont"/>
    <w:rsid w:val="00A2638F"/>
    <w:rPr>
      <w:u w:val="single"/>
    </w:rPr>
  </w:style>
  <w:style w:type="paragraph" w:customStyle="1" w:styleId="TableBodyTextRight">
    <w:name w:val="Table Body Text Right"/>
    <w:basedOn w:val="TableBodyText"/>
    <w:rsid w:val="00A2638F"/>
    <w:pPr>
      <w:widowControl w:val="0"/>
      <w:autoSpaceDE w:val="0"/>
      <w:autoSpaceDN w:val="0"/>
      <w:adjustRightInd w:val="0"/>
      <w:jc w:val="right"/>
    </w:pPr>
    <w:rPr>
      <w:rFonts w:cs="Arial"/>
      <w:szCs w:val="18"/>
    </w:rPr>
  </w:style>
  <w:style w:type="paragraph" w:customStyle="1" w:styleId="CopyrightText">
    <w:name w:val="Copyright Text"/>
    <w:basedOn w:val="BodyText"/>
    <w:rsid w:val="00A2638F"/>
    <w:rPr>
      <w:sz w:val="18"/>
    </w:rPr>
  </w:style>
  <w:style w:type="paragraph" w:customStyle="1" w:styleId="BodySmallRight">
    <w:name w:val="Body Small Right"/>
    <w:basedOn w:val="BodyTextRight"/>
    <w:rsid w:val="00A2638F"/>
    <w:rPr>
      <w:sz w:val="18"/>
      <w:szCs w:val="18"/>
    </w:rPr>
  </w:style>
  <w:style w:type="paragraph" w:customStyle="1" w:styleId="MarginEdition">
    <w:name w:val="Margin Edition"/>
    <w:basedOn w:val="MarginNote"/>
    <w:rsid w:val="00A2638F"/>
    <w:pPr>
      <w:spacing w:before="0" w:after="0"/>
    </w:pPr>
    <w:rPr>
      <w:rFonts w:ascii="Times New Roman" w:hAnsi="Times New Roman"/>
      <w:color w:val="999999"/>
    </w:rPr>
  </w:style>
  <w:style w:type="paragraph" w:customStyle="1" w:styleId="Spacer">
    <w:name w:val="Spacer"/>
    <w:basedOn w:val="Normal"/>
    <w:rsid w:val="00A2638F"/>
    <w:rPr>
      <w:sz w:val="2"/>
      <w:szCs w:val="2"/>
    </w:rPr>
  </w:style>
  <w:style w:type="character" w:customStyle="1" w:styleId="Small">
    <w:name w:val="Small"/>
    <w:basedOn w:val="DefaultParagraphFont"/>
    <w:rsid w:val="00A2638F"/>
    <w:rPr>
      <w:sz w:val="16"/>
    </w:rPr>
  </w:style>
  <w:style w:type="paragraph" w:customStyle="1" w:styleId="WideTable">
    <w:name w:val="Wide Table"/>
    <w:basedOn w:val="Normal"/>
    <w:rsid w:val="00A2638F"/>
    <w:pPr>
      <w:ind w:left="-1418"/>
    </w:pPr>
    <w:rPr>
      <w:sz w:val="2"/>
      <w:szCs w:val="2"/>
    </w:rPr>
  </w:style>
  <w:style w:type="character" w:styleId="PageNumber">
    <w:name w:val="page number"/>
    <w:basedOn w:val="DefaultParagraphFont"/>
    <w:rsid w:val="00A2638F"/>
  </w:style>
  <w:style w:type="paragraph" w:styleId="Quote">
    <w:name w:val="Quote"/>
    <w:basedOn w:val="Heading1"/>
    <w:link w:val="QuoteChar"/>
    <w:qFormat/>
    <w:rsid w:val="00A2638F"/>
    <w:rPr>
      <w:b w:val="0"/>
      <w:sz w:val="72"/>
      <w:szCs w:val="72"/>
      <w:lang w:val="en-NZ"/>
    </w:rPr>
  </w:style>
  <w:style w:type="character" w:customStyle="1" w:styleId="QuoteChar">
    <w:name w:val="Quote Char"/>
    <w:basedOn w:val="DefaultParagraphFont"/>
    <w:link w:val="Quote"/>
    <w:rsid w:val="00A263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638F"/>
    <w:pPr>
      <w:pageBreakBefore/>
    </w:pPr>
  </w:style>
  <w:style w:type="paragraph" w:customStyle="1" w:styleId="Border">
    <w:name w:val="Border"/>
    <w:basedOn w:val="Normal"/>
    <w:qFormat/>
    <w:rsid w:val="00A263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638F"/>
    <w:rPr>
      <w:b/>
      <w:bCs/>
      <w:i/>
      <w:iCs/>
      <w:color w:val="auto"/>
    </w:rPr>
  </w:style>
  <w:style w:type="paragraph" w:styleId="IntenseQuote">
    <w:name w:val="Intense Quote"/>
    <w:basedOn w:val="Normal"/>
    <w:next w:val="Normal"/>
    <w:link w:val="IntenseQuoteChar"/>
    <w:uiPriority w:val="30"/>
    <w:qFormat/>
    <w:rsid w:val="00A263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63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638F"/>
    <w:rPr>
      <w:smallCaps/>
      <w:color w:val="auto"/>
      <w:u w:val="single"/>
    </w:rPr>
  </w:style>
  <w:style w:type="character" w:styleId="IntenseReference">
    <w:name w:val="Intense Reference"/>
    <w:basedOn w:val="DefaultParagraphFont"/>
    <w:uiPriority w:val="32"/>
    <w:qFormat/>
    <w:rsid w:val="00A2638F"/>
    <w:rPr>
      <w:b/>
      <w:bCs/>
      <w:smallCaps/>
      <w:color w:val="auto"/>
      <w:spacing w:val="5"/>
      <w:u w:val="single"/>
    </w:rPr>
  </w:style>
  <w:style w:type="paragraph" w:customStyle="1" w:styleId="2ColumnHeading">
    <w:name w:val="2Column Heading"/>
    <w:basedOn w:val="BodyText"/>
    <w:qFormat/>
    <w:rsid w:val="00A2638F"/>
    <w:pPr>
      <w:spacing w:after="60"/>
      <w:ind w:left="-2268"/>
    </w:pPr>
    <w:rPr>
      <w:b/>
    </w:rPr>
  </w:style>
  <w:style w:type="paragraph" w:customStyle="1" w:styleId="Heading1TOC">
    <w:name w:val="Heading1 TOC"/>
    <w:basedOn w:val="Normal"/>
    <w:qFormat/>
    <w:rsid w:val="00A2638F"/>
    <w:pPr>
      <w:spacing w:before="240" w:after="120"/>
    </w:pPr>
    <w:rPr>
      <w:rFonts w:ascii="Times New Roman" w:hAnsi="Times New Roman"/>
      <w:b/>
      <w:sz w:val="32"/>
    </w:rPr>
  </w:style>
  <w:style w:type="paragraph" w:customStyle="1" w:styleId="Heading2TOC">
    <w:name w:val="Heading2 TOC"/>
    <w:basedOn w:val="Normal"/>
    <w:qFormat/>
    <w:rsid w:val="00A2638F"/>
    <w:pPr>
      <w:spacing w:before="240" w:after="60"/>
    </w:pPr>
    <w:rPr>
      <w:rFonts w:ascii="Times New Roman" w:hAnsi="Times New Roman"/>
      <w:b/>
      <w:sz w:val="28"/>
    </w:rPr>
  </w:style>
  <w:style w:type="character" w:customStyle="1" w:styleId="Underline">
    <w:name w:val="Underline"/>
    <w:basedOn w:val="DefaultParagraphFont"/>
    <w:qFormat/>
    <w:rsid w:val="00A2638F"/>
    <w:rPr>
      <w:u w:val="single"/>
    </w:rPr>
  </w:style>
  <w:style w:type="paragraph" w:styleId="BalloonText">
    <w:name w:val="Balloon Text"/>
    <w:basedOn w:val="Normal"/>
    <w:link w:val="BalloonTextChar"/>
    <w:rsid w:val="00A2638F"/>
    <w:rPr>
      <w:rFonts w:ascii="Tahoma" w:hAnsi="Tahoma" w:cs="Tahoma"/>
      <w:sz w:val="16"/>
      <w:szCs w:val="16"/>
    </w:rPr>
  </w:style>
  <w:style w:type="character" w:customStyle="1" w:styleId="BalloonTextChar">
    <w:name w:val="Balloon Text Char"/>
    <w:basedOn w:val="DefaultParagraphFont"/>
    <w:link w:val="BalloonText"/>
    <w:rsid w:val="00A263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63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63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638F"/>
    <w:rPr>
      <w:b/>
      <w:color w:val="660033"/>
      <w:spacing w:val="0"/>
    </w:rPr>
  </w:style>
  <w:style w:type="paragraph" w:customStyle="1" w:styleId="Nameditemlist">
    <w:name w:val="Named item list"/>
    <w:basedOn w:val="BodyText"/>
    <w:qFormat/>
    <w:rsid w:val="00A263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936</Words>
  <Characters>6396</Characters>
  <Application>Microsoft Office Word</Application>
  <DocSecurity>0</DocSecurity>
  <Lines>228</Lines>
  <Paragraphs>136</Paragraphs>
  <ScaleCrop>false</ScaleCrop>
  <Company>Author-it Software Corporation Ltd.</Company>
  <LinksUpToDate>false</LinksUpToDate>
  <CharactersWithSpaces>7260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DEFEO302D Unpackage ammunition</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2013-01-24T03:36:00Z</dcterms:created>
  <dcterms:modified xsi:type="dcterms:W3CDTF">2013-01-24T03:36:00Z</dcterms:modified>
</cp:coreProperties>
</file>