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6F0" w:rsidP="002626F0">
      <w:pPr>
        <w:pStyle w:val="Title"/>
      </w:pPr>
      <w:bookmarkStart w:id="0" w:name="_GoBack"/>
      <w:bookmarkEnd w:id="0"/>
      <w:r>
        <w:fldChar w:fldCharType="begin"/>
      </w:r>
      <w:r>
        <w:instrText xml:space="preserve"> TITLE   \* MERGEFORMAT </w:instrText>
      </w:r>
      <w:r>
        <w:fldChar w:fldCharType="separate"/>
      </w:r>
      <w:r>
        <w:t>DEFEO216A Operate a small quantity explosive ordnance facility</w:t>
      </w:r>
      <w:r>
        <w:fldChar w:fldCharType="end"/>
      </w:r>
    </w:p>
    <w:p w:rsidR="002626F0" w:rsidP="002626F0">
      <w:pPr>
        <w:pStyle w:val="Version"/>
        <w:sectPr w:rsidSect="00A86A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6AEC" w:rsidP="00A86AEC">
      <w:pPr>
        <w:pStyle w:val="SuperHeading"/>
      </w:pPr>
      <w:r w:rsidRPr="00A86AEC">
        <w:t>DEFEO216A Operate a small quantity explosive ordnance facility</w:t>
      </w:r>
    </w:p>
    <w:p w:rsidR="00000000" w:rsidRPr="00A86AEC" w:rsidP="00A86AEC">
      <w:pPr>
        <w:pStyle w:val="Heading1"/>
      </w:pPr>
      <w:bookmarkStart w:id="1" w:name="O_518336"/>
      <w:bookmarkEnd w:id="1"/>
      <w:r w:rsidRPr="00A86AEC">
        <w:t>Modification History</w:t>
      </w:r>
    </w:p>
    <w:tbl>
      <w:tblPr>
        <w:tblW w:w="0" w:type="auto"/>
        <w:tblLayout w:type="fixed"/>
        <w:tblCellMar>
          <w:left w:w="62" w:type="dxa"/>
          <w:right w:w="62" w:type="dxa"/>
        </w:tblCellMar>
        <w:tblLook w:val="0000"/>
      </w:tblPr>
      <w:tblGrid>
        <w:gridCol w:w="1134"/>
        <w:gridCol w:w="1701"/>
        <w:gridCol w:w="4536"/>
      </w:tblGrid>
      <w:tr w:rsidTr="002626F0">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EC" w:rsidP="00A86AEC">
            <w:pPr>
              <w:pStyle w:val="BodyText"/>
            </w:pPr>
            <w:r w:rsidRPr="00A86AEC">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EC" w:rsidP="00A86AEC">
            <w:pPr>
              <w:pStyle w:val="BodyText"/>
            </w:pPr>
            <w:r w:rsidRPr="00A86AEC">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rPr>
                <w:rStyle w:val="SpecialBold"/>
              </w:rPr>
              <w:t xml:space="preserve"> Comments</w:t>
            </w:r>
          </w:p>
        </w:tc>
      </w:tr>
      <w:tr w:rsidTr="002626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t>Layout adjusted.</w:t>
            </w:r>
          </w:p>
        </w:tc>
      </w:tr>
      <w:tr w:rsidTr="002626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EC" w:rsidP="00A86AEC">
            <w:pPr>
              <w:pStyle w:val="BodyText"/>
            </w:pPr>
            <w:r w:rsidRPr="00A86AEC">
              <w:t>First release.</w:t>
            </w:r>
          </w:p>
        </w:tc>
      </w:tr>
    </w:tbl>
    <w:p w:rsidR="002626F0" w:rsidP="00A86AEC">
      <w:pPr>
        <w:pStyle w:val="BodyText"/>
      </w:pPr>
    </w:p>
    <w:p w:rsidR="002626F0" w:rsidP="00A86AEC">
      <w:pPr>
        <w:pStyle w:val="BodyText"/>
      </w:pPr>
    </w:p>
    <w:p w:rsidR="00000000" w:rsidRPr="00A86AEC" w:rsidP="00A86AEC">
      <w:pPr>
        <w:pStyle w:val="Heading1"/>
      </w:pPr>
      <w:bookmarkStart w:id="2" w:name="O_518335"/>
      <w:bookmarkEnd w:id="2"/>
      <w:r w:rsidRPr="00A86AEC">
        <w:t>Unit Descriptor</w:t>
      </w:r>
    </w:p>
    <w:p w:rsidR="00000000" w:rsidRPr="00A86AEC" w:rsidP="00A86AEC">
      <w:pPr>
        <w:pStyle w:val="BodyText"/>
      </w:pPr>
      <w:r w:rsidRPr="00A86AEC">
        <w:t>This unit covers the competency required to operate a storage facility licensed to contain a small quantity of explosive ordnance.</w:t>
      </w:r>
    </w:p>
    <w:p w:rsidR="00000000" w:rsidRPr="00A86AEC" w:rsidP="00A86AEC">
      <w:pPr>
        <w:pStyle w:val="AllowPageBreak"/>
      </w:pPr>
    </w:p>
    <w:p w:rsidR="00000000" w:rsidRPr="00A86AEC" w:rsidP="00A86AEC">
      <w:pPr>
        <w:pStyle w:val="Heading1"/>
      </w:pPr>
      <w:bookmarkStart w:id="3" w:name="O_518334"/>
      <w:bookmarkEnd w:id="3"/>
      <w:r w:rsidRPr="00A86AEC">
        <w:t>Application of the Unit</w:t>
      </w:r>
    </w:p>
    <w:p w:rsidR="00000000" w:rsidRPr="00A86AEC" w:rsidP="00A86AEC">
      <w:pPr>
        <w:pStyle w:val="BodyText"/>
      </w:pPr>
      <w:r w:rsidRPr="00A86AEC">
        <w:t>This competency normally applies to the individual who is required to operate a smal</w:t>
      </w:r>
      <w:r w:rsidRPr="00A86AEC">
        <w:t>l quantity facility.</w:t>
      </w:r>
    </w:p>
    <w:p w:rsidR="00000000" w:rsidRPr="00A86AEC" w:rsidP="00A86AEC">
      <w:pPr>
        <w:pStyle w:val="BodyText"/>
      </w:pPr>
      <w:r w:rsidRPr="00A86AEC">
        <w:t>The unit requires the individual to conform to the facility licence, calculate net explosive quantity, apply compatibility constraints, ensure package sealing requirements are applied and maintain a range of documentation.</w:t>
      </w:r>
    </w:p>
    <w:p w:rsidR="00000000" w:rsidRPr="00A86AEC" w:rsidP="00A86AEC">
      <w:pPr>
        <w:pStyle w:val="AllowPageBreak"/>
      </w:pPr>
    </w:p>
    <w:p w:rsidR="00000000" w:rsidRPr="00A86AEC" w:rsidP="00A86AEC">
      <w:pPr>
        <w:pStyle w:val="Heading1"/>
      </w:pPr>
      <w:bookmarkStart w:id="4" w:name="O_518333"/>
      <w:bookmarkEnd w:id="4"/>
      <w:r w:rsidRPr="00A86AEC">
        <w:t>Licensing/Regulatory Information</w:t>
      </w:r>
    </w:p>
    <w:p w:rsidR="00000000" w:rsidRPr="00A86AEC" w:rsidP="00A86AEC">
      <w:pPr>
        <w:pStyle w:val="BodyText"/>
      </w:pPr>
      <w:r w:rsidRPr="00A86AEC">
        <w:t>Not applicable.</w:t>
      </w:r>
    </w:p>
    <w:p w:rsidR="00000000" w:rsidRPr="00A86AEC" w:rsidP="00A86AEC">
      <w:pPr>
        <w:pStyle w:val="AllowPageBreak"/>
      </w:pPr>
    </w:p>
    <w:p w:rsidR="00000000" w:rsidRPr="00A86AEC" w:rsidP="00A86AEC">
      <w:pPr>
        <w:pStyle w:val="Heading1"/>
      </w:pPr>
      <w:bookmarkStart w:id="5" w:name="O_518332"/>
      <w:bookmarkEnd w:id="5"/>
      <w:r w:rsidRPr="00A86AEC">
        <w:t>Pre-Requisites</w:t>
      </w:r>
    </w:p>
    <w:p w:rsidR="00000000" w:rsidRPr="00A86AEC" w:rsidP="00A86AEC">
      <w:pPr>
        <w:pStyle w:val="BodyText"/>
      </w:pPr>
      <w:r w:rsidRPr="00A86AEC">
        <w:t>Not applicable.</w:t>
      </w:r>
    </w:p>
    <w:p w:rsidR="00000000" w:rsidRPr="00A86AEC" w:rsidP="00A86AEC">
      <w:pPr>
        <w:pStyle w:val="AllowPageBreak"/>
      </w:pPr>
    </w:p>
    <w:p w:rsidR="00000000" w:rsidRPr="00A86AEC" w:rsidP="00A86AEC">
      <w:pPr>
        <w:pStyle w:val="Heading1"/>
      </w:pPr>
      <w:bookmarkStart w:id="6" w:name="O_518331"/>
      <w:bookmarkEnd w:id="6"/>
      <w:r w:rsidRPr="00A86AEC">
        <w:t>Employability Skills Information</w:t>
      </w:r>
    </w:p>
    <w:p w:rsidR="00000000" w:rsidRPr="00A86AEC" w:rsidP="00A86AEC">
      <w:pPr>
        <w:pStyle w:val="BodyText"/>
      </w:pPr>
      <w:r w:rsidRPr="00A86AEC">
        <w:t>This unit contains employability skills.</w:t>
      </w:r>
    </w:p>
    <w:p w:rsidR="00000000" w:rsidRPr="00A86AEC" w:rsidP="00A86AEC">
      <w:pPr>
        <w:pStyle w:val="AllowPageBreak"/>
      </w:pPr>
    </w:p>
    <w:p w:rsidR="00000000" w:rsidRPr="00A86AEC" w:rsidP="00A86AEC">
      <w:pPr>
        <w:pStyle w:val="Heading1"/>
      </w:pPr>
      <w:bookmarkStart w:id="7" w:name="O_518330"/>
      <w:bookmarkEnd w:id="7"/>
      <w:r w:rsidRPr="00A86AEC">
        <w:t>Elements and Performance Criteria Pre-Content</w:t>
      </w:r>
    </w:p>
    <w:tbl>
      <w:tblPr>
        <w:tblW w:w="0" w:type="auto"/>
        <w:tblLayout w:type="fixed"/>
        <w:tblCellMar>
          <w:left w:w="62" w:type="dxa"/>
          <w:right w:w="62" w:type="dxa"/>
        </w:tblCellMar>
        <w:tblLook w:val="0000"/>
      </w:tblPr>
      <w:tblGrid>
        <w:gridCol w:w="3060"/>
        <w:gridCol w:w="5580"/>
      </w:tblGrid>
      <w:tr w:rsidTr="002626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6AEC">
            <w:pPr>
              <w:pStyle w:val="BodyText"/>
              <w:rPr>
                <w:lang w:val="en-NZ"/>
              </w:rPr>
            </w:pPr>
            <w:r w:rsidRPr="00A86AEC">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86AEC" w:rsidP="00A86AEC">
            <w:pPr>
              <w:pStyle w:val="BodyText"/>
            </w:pPr>
            <w:r w:rsidRPr="00A86AEC">
              <w:t xml:space="preserve">Performance Criteria describe the required performance needed to demonstrate achievement of the element. Where </w:t>
            </w:r>
            <w:r w:rsidRPr="00A86AEC">
              <w:rPr>
                <w:rStyle w:val="BoldandItalics"/>
              </w:rPr>
              <w:t>bold italicised</w:t>
            </w:r>
            <w:r w:rsidRPr="00A86AEC">
              <w:t xml:space="preserve"> text is used, further information is detailed in the Range Stat</w:t>
            </w:r>
            <w:r w:rsidRPr="00A86AEC">
              <w:t>ement. Assessment of performance is to be consistent with the Evidence Guide.</w:t>
            </w:r>
          </w:p>
        </w:tc>
      </w:tr>
    </w:tbl>
    <w:p w:rsidR="00000000" w:rsidRPr="00A86AEC" w:rsidP="00A86AEC">
      <w:pPr>
        <w:pStyle w:val="BodyText"/>
      </w:pPr>
    </w:p>
    <w:p w:rsidR="00000000" w:rsidRPr="00A86AEC" w:rsidP="00A86AEC">
      <w:pPr>
        <w:pStyle w:val="AllowPageBreak"/>
      </w:pPr>
    </w:p>
    <w:p w:rsidR="00000000" w:rsidRPr="00A86AEC" w:rsidP="00A86AEC">
      <w:pPr>
        <w:pStyle w:val="Heading1"/>
      </w:pPr>
      <w:bookmarkStart w:id="8" w:name="O_518329"/>
      <w:bookmarkEnd w:id="8"/>
      <w:r w:rsidRPr="00A86AEC">
        <w:t>Elements and Performance Criteria</w:t>
      </w:r>
    </w:p>
    <w:tbl>
      <w:tblPr>
        <w:tblW w:w="0" w:type="auto"/>
        <w:tblLayout w:type="fixed"/>
        <w:tblCellMar>
          <w:left w:w="62" w:type="dxa"/>
          <w:right w:w="62" w:type="dxa"/>
        </w:tblCellMar>
        <w:tblLook w:val="0000"/>
      </w:tblPr>
      <w:tblGrid>
        <w:gridCol w:w="3060"/>
        <w:gridCol w:w="5580"/>
      </w:tblGrid>
      <w:tr w:rsidTr="002626F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86AEC" w:rsidP="00A86AEC">
            <w:pPr>
              <w:pStyle w:val="BodyText"/>
            </w:pPr>
            <w:r w:rsidRPr="00A86AE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86AEC">
            <w:pPr>
              <w:pStyle w:val="BodyText"/>
              <w:rPr>
                <w:lang w:val="en-NZ"/>
              </w:rPr>
            </w:pPr>
            <w:r w:rsidRPr="00A86AEC">
              <w:rPr>
                <w:rStyle w:val="SpecialBold"/>
              </w:rPr>
              <w:t>PERFORMANCE CRITERIA</w:t>
            </w:r>
          </w:p>
        </w:tc>
      </w:tr>
      <w:tr w:rsidTr="002626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6AEC">
            <w:pPr>
              <w:pStyle w:val="List"/>
              <w:rPr>
                <w:lang w:val="en-NZ"/>
              </w:rPr>
            </w:pPr>
            <w:r w:rsidRPr="00A86AEC">
              <w:t>1.</w:t>
            </w:r>
            <w:r w:rsidRPr="00A86AEC">
              <w:tab/>
            </w:r>
            <w:r w:rsidRPr="00A86AEC">
              <w:rPr>
                <w:rStyle w:val="SpecialBold"/>
              </w:rPr>
              <w:t>Confirm requirements of a small quantity facility</w:t>
            </w:r>
          </w:p>
        </w:tc>
        <w:tc>
          <w:tcPr>
            <w:tcW w:w="5580" w:type="dxa"/>
            <w:tcBorders>
              <w:top w:val="nil"/>
              <w:left w:val="nil"/>
              <w:bottom w:val="nil"/>
              <w:right w:val="nil"/>
            </w:tcBorders>
            <w:tcMar>
              <w:top w:w="0" w:type="dxa"/>
              <w:left w:w="62" w:type="dxa"/>
              <w:bottom w:w="0" w:type="dxa"/>
              <w:right w:w="62" w:type="dxa"/>
            </w:tcMar>
          </w:tcPr>
          <w:p w:rsidR="00000000" w:rsidRPr="00A86AEC" w:rsidP="00A86AEC">
            <w:pPr>
              <w:pStyle w:val="List"/>
            </w:pPr>
            <w:r w:rsidRPr="00A86AEC">
              <w:t>1.1</w:t>
            </w:r>
            <w:r w:rsidRPr="00A86AEC">
              <w:tab/>
            </w:r>
            <w:r w:rsidRPr="00A86AEC">
              <w:rPr>
                <w:rStyle w:val="BoldandItalics"/>
              </w:rPr>
              <w:t>Small quantity facility</w:t>
            </w:r>
            <w:r w:rsidRPr="00A86AEC">
              <w:t xml:space="preserve"> requirements are identified from work requests/instructions and confirmed with relevant personnel</w:t>
            </w:r>
          </w:p>
          <w:p w:rsidR="00000000" w:rsidRPr="00A86AEC" w:rsidP="00A86AEC">
            <w:pPr>
              <w:pStyle w:val="List"/>
            </w:pPr>
            <w:r w:rsidRPr="00A86AEC">
              <w:t>1.2</w:t>
            </w:r>
            <w:r w:rsidRPr="00A86AEC">
              <w:tab/>
              <w:t xml:space="preserve">Work health and safety (WHS) requirements, including those contained in </w:t>
            </w:r>
            <w:r w:rsidRPr="00A86AEC">
              <w:rPr>
                <w:rStyle w:val="BoldandItalics"/>
              </w:rPr>
              <w:t>organisational</w:t>
            </w:r>
            <w:r w:rsidRPr="00A86AEC">
              <w:t xml:space="preserve"> procedures, are applied throughout the operation</w:t>
            </w:r>
          </w:p>
          <w:p w:rsidR="00000000" w:rsidRPr="00A86AEC" w:rsidP="00A86AEC">
            <w:pPr>
              <w:pStyle w:val="List"/>
            </w:pPr>
            <w:r w:rsidRPr="00A86AEC">
              <w:t>1.3</w:t>
            </w:r>
            <w:r w:rsidRPr="00A86AEC">
              <w:tab/>
            </w:r>
            <w:r w:rsidRPr="00A86AEC">
              <w:rPr>
                <w:rStyle w:val="BoldandItalics"/>
              </w:rPr>
              <w:t>Explosive lim</w:t>
            </w:r>
            <w:r w:rsidRPr="00A86AEC">
              <w:rPr>
                <w:rStyle w:val="BoldandItalics"/>
              </w:rPr>
              <w:t>it licences</w:t>
            </w:r>
            <w:r w:rsidRPr="00A86AEC">
              <w:t xml:space="preserve"> are identified and displayed in accordance with organisational procedures</w:t>
            </w:r>
          </w:p>
          <w:p w:rsidR="00000000" w:rsidP="00A86AEC">
            <w:pPr>
              <w:pStyle w:val="List"/>
              <w:rPr>
                <w:lang w:val="en-NZ"/>
              </w:rPr>
            </w:pPr>
            <w:r w:rsidRPr="00A86AEC">
              <w:t>1.4</w:t>
            </w:r>
            <w:r w:rsidRPr="00A86AEC">
              <w:tab/>
            </w:r>
            <w:r w:rsidRPr="00A86AEC">
              <w:rPr>
                <w:rStyle w:val="BoldandItalics"/>
              </w:rPr>
              <w:t>Storage plans</w:t>
            </w:r>
            <w:r w:rsidRPr="00A86AEC">
              <w:t xml:space="preserve"> are identified and displayed in accordance with organisational procedures</w:t>
            </w:r>
          </w:p>
        </w:tc>
      </w:tr>
      <w:tr w:rsidTr="002626F0">
        <w:tblPrEx>
          <w:tblW w:w="0" w:type="auto"/>
          <w:tblLayout w:type="fixed"/>
          <w:tblCellMar>
            <w:left w:w="62" w:type="dxa"/>
            <w:right w:w="62" w:type="dxa"/>
          </w:tblCellMar>
          <w:tblLook w:val="0000"/>
        </w:tblPrEx>
        <w:trPr>
          <w:trHeight w:val="4695"/>
        </w:trPr>
        <w:tc>
          <w:tcPr>
            <w:tcW w:w="3060" w:type="dxa"/>
            <w:tcBorders>
              <w:top w:val="nil"/>
              <w:left w:val="nil"/>
              <w:bottom w:val="nil"/>
              <w:right w:val="nil"/>
            </w:tcBorders>
            <w:tcMar>
              <w:top w:w="0" w:type="dxa"/>
              <w:left w:w="62" w:type="dxa"/>
              <w:bottom w:w="0" w:type="dxa"/>
              <w:right w:w="62" w:type="dxa"/>
            </w:tcMar>
          </w:tcPr>
          <w:p w:rsidR="00000000" w:rsidP="00A86AEC">
            <w:pPr>
              <w:pStyle w:val="List"/>
              <w:rPr>
                <w:lang w:val="en-NZ"/>
              </w:rPr>
            </w:pPr>
            <w:r w:rsidRPr="00A86AEC">
              <w:t>2.</w:t>
            </w:r>
            <w:r w:rsidRPr="00A86AEC">
              <w:tab/>
            </w:r>
            <w:r w:rsidRPr="00A86AEC">
              <w:rPr>
                <w:rStyle w:val="SpecialBold"/>
              </w:rPr>
              <w:t>Operate the facility</w:t>
            </w:r>
          </w:p>
        </w:tc>
        <w:tc>
          <w:tcPr>
            <w:tcW w:w="5580" w:type="dxa"/>
            <w:tcBorders>
              <w:top w:val="nil"/>
              <w:left w:val="nil"/>
              <w:bottom w:val="nil"/>
              <w:right w:val="nil"/>
            </w:tcBorders>
            <w:tcMar>
              <w:top w:w="0" w:type="dxa"/>
              <w:left w:w="62" w:type="dxa"/>
              <w:bottom w:w="0" w:type="dxa"/>
              <w:right w:w="62" w:type="dxa"/>
            </w:tcMar>
          </w:tcPr>
          <w:p w:rsidR="00000000" w:rsidRPr="00A86AEC" w:rsidP="00A86AEC">
            <w:pPr>
              <w:pStyle w:val="List"/>
            </w:pPr>
            <w:r w:rsidRPr="00A86AEC">
              <w:t>2.1</w:t>
            </w:r>
            <w:r w:rsidRPr="00A86AEC">
              <w:tab/>
            </w:r>
            <w:r w:rsidRPr="00A86AEC">
              <w:rPr>
                <w:rStyle w:val="BoldandItalics"/>
              </w:rPr>
              <w:t>Net explosive quantities</w:t>
            </w:r>
            <w:r w:rsidRPr="00A86AEC">
              <w:t xml:space="preserve"> and </w:t>
            </w:r>
            <w:r w:rsidRPr="00A86AEC">
              <w:rPr>
                <w:rStyle w:val="BoldandItalics"/>
              </w:rPr>
              <w:t>compatibility</w:t>
            </w:r>
            <w:r w:rsidRPr="00A86AEC">
              <w:t xml:space="preserve"> are identified, calculated, confirmed and applied throughout the operation</w:t>
            </w:r>
          </w:p>
          <w:p w:rsidR="00000000" w:rsidRPr="00A86AEC" w:rsidP="00A86AEC">
            <w:pPr>
              <w:pStyle w:val="List"/>
            </w:pPr>
            <w:r w:rsidRPr="00A86AEC">
              <w:t>2.2</w:t>
            </w:r>
            <w:r w:rsidRPr="00A86AEC">
              <w:tab/>
              <w:t>Storage plan is interpreted and applied throughout the operation</w:t>
            </w:r>
          </w:p>
          <w:p w:rsidR="00000000" w:rsidRPr="00A86AEC" w:rsidP="00A86AEC">
            <w:pPr>
              <w:pStyle w:val="List"/>
            </w:pPr>
            <w:r w:rsidRPr="00A86AEC">
              <w:t>2.3</w:t>
            </w:r>
            <w:r w:rsidRPr="00A86AEC">
              <w:tab/>
              <w:t>Ammunition/explosive ordnance or explosive components to be stored are packaged, sealed and marked in accor</w:t>
            </w:r>
            <w:r w:rsidRPr="00A86AEC">
              <w:t>dance with statutory and organisational procedures</w:t>
            </w:r>
          </w:p>
          <w:p w:rsidR="00000000" w:rsidRPr="00A86AEC" w:rsidP="00A86AEC">
            <w:pPr>
              <w:pStyle w:val="List"/>
            </w:pPr>
            <w:r w:rsidRPr="00A86AEC">
              <w:t>2.4</w:t>
            </w:r>
            <w:r w:rsidRPr="00A86AEC">
              <w:tab/>
              <w:t xml:space="preserve">Relevant </w:t>
            </w:r>
            <w:r w:rsidRPr="00A86AEC">
              <w:rPr>
                <w:rStyle w:val="BoldandItalics"/>
              </w:rPr>
              <w:t>calculations</w:t>
            </w:r>
            <w:r w:rsidRPr="00A86AEC">
              <w:t xml:space="preserve"> are carried out and recorded</w:t>
            </w:r>
          </w:p>
          <w:p w:rsidR="00000000" w:rsidRPr="00A86AEC" w:rsidP="00A86AEC">
            <w:pPr>
              <w:pStyle w:val="List"/>
            </w:pPr>
            <w:r w:rsidRPr="00A86AEC">
              <w:t>2.5</w:t>
            </w:r>
            <w:r w:rsidRPr="00A86AEC">
              <w:tab/>
              <w:t>Items held in a small quantity facility are issued and receipted in accordance with organisational procedures</w:t>
            </w:r>
          </w:p>
          <w:p w:rsidR="00000000" w:rsidRPr="00A86AEC" w:rsidP="00A86AEC">
            <w:pPr>
              <w:pStyle w:val="List"/>
            </w:pPr>
            <w:r w:rsidRPr="00A86AEC">
              <w:t>2.6</w:t>
            </w:r>
            <w:r w:rsidRPr="00A86AEC">
              <w:tab/>
              <w:t>Fire symbols, including suppleme</w:t>
            </w:r>
            <w:r w:rsidRPr="00A86AEC">
              <w:t>ntary fire symbols, are displayed in accordance with organisational procedures</w:t>
            </w:r>
          </w:p>
          <w:p w:rsidR="00000000" w:rsidP="00A86AEC">
            <w:pPr>
              <w:pStyle w:val="List"/>
              <w:rPr>
                <w:lang w:val="en-NZ"/>
              </w:rPr>
            </w:pPr>
            <w:r w:rsidRPr="00A86AEC">
              <w:t>2.7</w:t>
            </w:r>
            <w:r w:rsidRPr="00A86AEC">
              <w:tab/>
              <w:t>Emergency and contingency procedures are applied in accordance with organisational policy</w:t>
            </w:r>
          </w:p>
        </w:tc>
      </w:tr>
      <w:tr w:rsidTr="002626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6AEC">
            <w:pPr>
              <w:pStyle w:val="List"/>
              <w:rPr>
                <w:lang w:val="en-NZ"/>
              </w:rPr>
            </w:pPr>
            <w:r w:rsidRPr="00A86AEC">
              <w:t>3.</w:t>
            </w:r>
            <w:r w:rsidRPr="00A86AEC">
              <w:tab/>
            </w:r>
            <w:r w:rsidRPr="00A86AEC">
              <w:rPr>
                <w:rStyle w:val="SpecialBold"/>
              </w:rPr>
              <w:t>Maintain facility operating requirements</w:t>
            </w:r>
          </w:p>
        </w:tc>
        <w:tc>
          <w:tcPr>
            <w:tcW w:w="5580" w:type="dxa"/>
            <w:tcBorders>
              <w:top w:val="nil"/>
              <w:left w:val="nil"/>
              <w:bottom w:val="nil"/>
              <w:right w:val="nil"/>
            </w:tcBorders>
            <w:tcMar>
              <w:top w:w="0" w:type="dxa"/>
              <w:left w:w="62" w:type="dxa"/>
              <w:bottom w:w="0" w:type="dxa"/>
              <w:right w:w="62" w:type="dxa"/>
            </w:tcMar>
          </w:tcPr>
          <w:p w:rsidR="00000000" w:rsidRPr="00A86AEC" w:rsidP="00A86AEC">
            <w:pPr>
              <w:pStyle w:val="List"/>
            </w:pPr>
            <w:r w:rsidRPr="00A86AEC">
              <w:t>3.1</w:t>
            </w:r>
            <w:r w:rsidRPr="00A86AEC">
              <w:tab/>
              <w:t>Equipment and tools are maintained</w:t>
            </w:r>
            <w:r w:rsidRPr="00A86AEC">
              <w:t xml:space="preserve"> in accordance with organisational policy and procedures</w:t>
            </w:r>
          </w:p>
          <w:p w:rsidR="00000000" w:rsidRPr="00A86AEC" w:rsidP="00A86AEC">
            <w:pPr>
              <w:pStyle w:val="List"/>
            </w:pPr>
            <w:r w:rsidRPr="00A86AEC">
              <w:t>3.2</w:t>
            </w:r>
            <w:r w:rsidRPr="00A86AEC">
              <w:tab/>
              <w:t>Housekeeping procedures are conducted in accordance with facility requirements</w:t>
            </w:r>
          </w:p>
          <w:p w:rsidR="00000000" w:rsidRPr="00A86AEC" w:rsidP="00A86AEC">
            <w:pPr>
              <w:pStyle w:val="List"/>
            </w:pPr>
            <w:r w:rsidRPr="00A86AEC">
              <w:t>3.3</w:t>
            </w:r>
            <w:r w:rsidRPr="00A86AEC">
              <w:tab/>
            </w:r>
            <w:r w:rsidRPr="00A86AEC">
              <w:rPr>
                <w:rStyle w:val="BoldandItalics"/>
              </w:rPr>
              <w:t>Documentation and records</w:t>
            </w:r>
            <w:r w:rsidRPr="00A86AEC">
              <w:t xml:space="preserve"> are maintained in accordance with statutory and organisational requirements</w:t>
            </w:r>
          </w:p>
        </w:tc>
      </w:tr>
    </w:tbl>
    <w:p w:rsidR="00000000" w:rsidRPr="00A86AEC" w:rsidP="00A86AEC">
      <w:pPr>
        <w:pStyle w:val="BodyText"/>
      </w:pPr>
    </w:p>
    <w:p w:rsidR="00000000" w:rsidRPr="00A86AEC" w:rsidP="00A86AEC">
      <w:pPr>
        <w:pStyle w:val="AllowPageBreak"/>
      </w:pPr>
    </w:p>
    <w:p w:rsidR="00000000" w:rsidRPr="00A86AEC" w:rsidP="00A86AEC">
      <w:pPr>
        <w:pStyle w:val="Heading1"/>
      </w:pPr>
      <w:bookmarkStart w:id="9" w:name="O_518328"/>
      <w:bookmarkEnd w:id="9"/>
      <w:r w:rsidRPr="00A86AEC">
        <w:t>Required Skills and Knowledge</w:t>
      </w:r>
    </w:p>
    <w:tbl>
      <w:tblPr>
        <w:tblW w:w="0" w:type="auto"/>
        <w:tblLayout w:type="fixed"/>
        <w:tblCellMar>
          <w:left w:w="62" w:type="dxa"/>
          <w:right w:w="62" w:type="dxa"/>
        </w:tblCellMar>
        <w:tblLook w:val="0000"/>
      </w:tblPr>
      <w:tblGrid>
        <w:gridCol w:w="8640"/>
      </w:tblGrid>
      <w:tr w:rsidTr="002626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86AEC">
            <w:pPr>
              <w:pStyle w:val="BodyText"/>
              <w:rPr>
                <w:lang w:val="en-NZ"/>
              </w:rPr>
            </w:pPr>
            <w:r w:rsidRPr="00A86AEC">
              <w:t>This describes the essential skills and knowledge and their level, required for this unit.</w:t>
            </w:r>
          </w:p>
        </w:tc>
      </w:tr>
      <w:tr w:rsidTr="002626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86AEC">
            <w:pPr>
              <w:pStyle w:val="BodyText"/>
              <w:rPr>
                <w:lang w:val="en-NZ"/>
              </w:rPr>
            </w:pPr>
            <w:r w:rsidRPr="00A86AEC">
              <w:rPr>
                <w:rStyle w:val="SpecialBold"/>
              </w:rPr>
              <w:t>Required Skills</w:t>
            </w:r>
          </w:p>
        </w:tc>
      </w:tr>
      <w:tr w:rsidTr="002626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86AEC" w:rsidP="00A86AEC">
            <w:pPr>
              <w:pStyle w:val="ListBullet"/>
            </w:pPr>
            <w:r w:rsidRPr="00A86AEC">
              <w:t>apply compatibility constraints</w:t>
            </w:r>
          </w:p>
          <w:p w:rsidR="00000000" w:rsidRPr="00A86AEC" w:rsidP="00A86AEC">
            <w:pPr>
              <w:pStyle w:val="ListBullet"/>
            </w:pPr>
            <w:r w:rsidRPr="00A86AEC">
              <w:t>apply operational safety</w:t>
            </w:r>
          </w:p>
          <w:p w:rsidR="00000000" w:rsidRPr="00A86AEC" w:rsidP="00A86AEC">
            <w:pPr>
              <w:pStyle w:val="ListBullet"/>
            </w:pPr>
            <w:r w:rsidRPr="00A86AEC">
              <w:t>apply relevant WHS requirements</w:t>
            </w:r>
          </w:p>
          <w:p w:rsidR="00000000" w:rsidRPr="00A86AEC" w:rsidP="00A86AEC">
            <w:pPr>
              <w:pStyle w:val="ListBullet"/>
            </w:pPr>
            <w:r w:rsidRPr="00A86AEC">
              <w:t>apply sealing procedures</w:t>
            </w:r>
          </w:p>
          <w:p w:rsidR="00000000" w:rsidRPr="00A86AEC" w:rsidP="00A86AEC">
            <w:pPr>
              <w:pStyle w:val="ListBullet"/>
            </w:pPr>
            <w:r w:rsidRPr="00A86AEC">
              <w:t>calculate and maintain net explosive quantity</w:t>
            </w:r>
          </w:p>
          <w:p w:rsidR="00000000" w:rsidRPr="00A86AEC" w:rsidP="00A86AEC">
            <w:pPr>
              <w:pStyle w:val="ListBullet"/>
            </w:pPr>
            <w:r w:rsidRPr="00A86AEC">
              <w:t xml:space="preserve">maintain documentation </w:t>
            </w:r>
          </w:p>
          <w:p w:rsidR="00000000" w:rsidRPr="00A86AEC" w:rsidP="00A86AEC">
            <w:pPr>
              <w:pStyle w:val="BodyText"/>
            </w:pPr>
            <w:r w:rsidRPr="00A86AEC">
              <w:t>read, access, interpret and apply explosive limit licences</w:t>
            </w:r>
          </w:p>
          <w:p w:rsidR="00000000" w:rsidP="00A86AEC">
            <w:pPr>
              <w:pStyle w:val="ListBullet"/>
              <w:rPr>
                <w:lang w:val="en-NZ"/>
              </w:rPr>
            </w:pPr>
            <w:r w:rsidRPr="00A86AEC">
              <w:t>read, access, interpret and apply storage plans</w:t>
            </w:r>
          </w:p>
        </w:tc>
      </w:tr>
      <w:tr w:rsidTr="002626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86AEC">
            <w:pPr>
              <w:pStyle w:val="BodyText"/>
              <w:rPr>
                <w:lang w:val="en-NZ"/>
              </w:rPr>
            </w:pPr>
            <w:r w:rsidRPr="00A86AEC">
              <w:rPr>
                <w:rStyle w:val="SpecialBold"/>
              </w:rPr>
              <w:t>Required Knowledge</w:t>
            </w:r>
          </w:p>
        </w:tc>
      </w:tr>
      <w:tr w:rsidTr="002626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86AEC" w:rsidP="00A86AEC">
            <w:pPr>
              <w:pStyle w:val="ListBullet"/>
            </w:pPr>
            <w:r w:rsidRPr="00A86AEC">
              <w:t>compatibility constraints</w:t>
            </w:r>
          </w:p>
          <w:p w:rsidR="00000000" w:rsidRPr="00A86AEC" w:rsidP="00A86AEC">
            <w:pPr>
              <w:pStyle w:val="ListBullet"/>
            </w:pPr>
            <w:r w:rsidRPr="00A86AEC">
              <w:t>docum</w:t>
            </w:r>
            <w:r w:rsidRPr="00A86AEC">
              <w:t>entation requirements</w:t>
            </w:r>
          </w:p>
          <w:p w:rsidR="00000000" w:rsidRPr="00A86AEC" w:rsidP="00A86AEC">
            <w:pPr>
              <w:pStyle w:val="ListBullet"/>
            </w:pPr>
            <w:r w:rsidRPr="00A86AEC">
              <w:t>net explosive quantity calculations</w:t>
            </w:r>
          </w:p>
          <w:p w:rsidR="00000000" w:rsidRPr="00A86AEC" w:rsidP="00A86AEC">
            <w:pPr>
              <w:pStyle w:val="ListBullet"/>
            </w:pPr>
            <w:r w:rsidRPr="00A86AEC">
              <w:t>operational safety</w:t>
            </w:r>
          </w:p>
          <w:p w:rsidR="00000000" w:rsidRPr="00A86AEC" w:rsidP="00A86AEC">
            <w:pPr>
              <w:pStyle w:val="ListBullet"/>
            </w:pPr>
            <w:r w:rsidRPr="00A86AEC">
              <w:t>relevant WHS requirements</w:t>
            </w:r>
          </w:p>
          <w:p w:rsidR="00000000" w:rsidRPr="00A86AEC" w:rsidP="00A86AEC">
            <w:pPr>
              <w:pStyle w:val="ListBullet"/>
            </w:pPr>
            <w:r w:rsidRPr="00A86AEC">
              <w:t>work condition class</w:t>
            </w:r>
          </w:p>
        </w:tc>
      </w:tr>
    </w:tbl>
    <w:p w:rsidR="00000000" w:rsidRPr="00A86AEC" w:rsidP="00A86AEC">
      <w:pPr>
        <w:pStyle w:val="BodyText"/>
      </w:pPr>
    </w:p>
    <w:p w:rsidR="00000000" w:rsidRPr="00A86AEC" w:rsidP="00A86AEC">
      <w:pPr>
        <w:pStyle w:val="AllowPageBreak"/>
      </w:pPr>
    </w:p>
    <w:p w:rsidR="00000000" w:rsidRPr="00A86AEC" w:rsidP="00A86AEC">
      <w:pPr>
        <w:pStyle w:val="Heading1"/>
      </w:pPr>
      <w:bookmarkStart w:id="10" w:name="O_518327"/>
      <w:bookmarkEnd w:id="10"/>
      <w:r w:rsidRPr="00A86AEC">
        <w:t>Evidence Guide</w:t>
      </w:r>
    </w:p>
    <w:tbl>
      <w:tblPr>
        <w:tblW w:w="0" w:type="auto"/>
        <w:tblLayout w:type="fixed"/>
        <w:tblCellMar>
          <w:left w:w="62" w:type="dxa"/>
          <w:right w:w="62" w:type="dxa"/>
        </w:tblCellMar>
        <w:tblLook w:val="0000"/>
      </w:tblPr>
      <w:tblGrid>
        <w:gridCol w:w="3060"/>
        <w:gridCol w:w="5580"/>
      </w:tblGrid>
      <w:tr w:rsidTr="002626F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86AEC">
            <w:pPr>
              <w:pStyle w:val="BodyText"/>
              <w:rPr>
                <w:lang w:val="en-NZ"/>
              </w:rPr>
            </w:pPr>
            <w:r w:rsidRPr="00A86AEC">
              <w:t>The evidence guide provides advice on assessment and must be read in conjunction with the Performance Criteria, Required Skills and Knowledge, the Range Statement and the Assessment Guidelines for this Training Package.</w:t>
            </w:r>
          </w:p>
        </w:tc>
      </w:tr>
      <w:tr w:rsidTr="002626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6AEC">
            <w:pPr>
              <w:pStyle w:val="BodyText"/>
              <w:rPr>
                <w:lang w:val="en-NZ"/>
              </w:rPr>
            </w:pPr>
            <w:r w:rsidRPr="00A86AEC">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86AEC" w:rsidP="00A86AEC">
            <w:pPr>
              <w:pStyle w:val="BodyText"/>
            </w:pPr>
            <w:r w:rsidRPr="00A86AEC">
              <w:t>Assessment must confirm the ability to:</w:t>
            </w:r>
          </w:p>
          <w:p w:rsidR="00000000" w:rsidRPr="00A86AEC" w:rsidP="00A86AEC">
            <w:pPr>
              <w:pStyle w:val="ListBullet"/>
            </w:pPr>
            <w:r w:rsidRPr="00A86AEC">
              <w:t>adhere to relevant WHS requirements and operational safety procedures</w:t>
            </w:r>
          </w:p>
          <w:p w:rsidR="00000000" w:rsidRPr="00A86AEC" w:rsidP="00A86AEC">
            <w:pPr>
              <w:pStyle w:val="ListBullet"/>
            </w:pPr>
            <w:r w:rsidRPr="00A86AEC">
              <w:t>identify and apply explosive limit licences, issue a</w:t>
            </w:r>
            <w:r w:rsidRPr="00A86AEC">
              <w:t>nd receipt procedures and storage plans</w:t>
            </w:r>
          </w:p>
          <w:p w:rsidR="00000000" w:rsidRPr="00A86AEC" w:rsidP="00A86AEC">
            <w:pPr>
              <w:pStyle w:val="ListBullet"/>
            </w:pPr>
            <w:r w:rsidRPr="00A86AEC">
              <w:t>maintain documentation</w:t>
            </w:r>
          </w:p>
          <w:p w:rsidR="00000000" w:rsidRPr="00A86AEC" w:rsidP="00A86AEC">
            <w:pPr>
              <w:pStyle w:val="BodyText"/>
            </w:pPr>
            <w:r w:rsidRPr="00A86AEC">
              <w:rPr>
                <w:rStyle w:val="SpecialBold"/>
              </w:rPr>
              <w:t>Consistency in performance</w:t>
            </w:r>
          </w:p>
          <w:p w:rsidR="00000000" w:rsidP="00A86AEC">
            <w:pPr>
              <w:pStyle w:val="BodyText"/>
              <w:rPr>
                <w:lang w:val="en-NZ"/>
              </w:rPr>
            </w:pPr>
            <w:r w:rsidRPr="00A86AEC">
              <w:t>Competency should be demonstrated over time and in a range of actual or simulated explosive ordnance contexts.</w:t>
            </w:r>
          </w:p>
        </w:tc>
      </w:tr>
      <w:tr w:rsidTr="002626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86AEC" w:rsidP="00A86AEC">
            <w:pPr>
              <w:pStyle w:val="BodyText"/>
            </w:pPr>
            <w:r w:rsidRPr="00A86AEC">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86AEC" w:rsidP="00A86AEC">
            <w:pPr>
              <w:pStyle w:val="BodyText"/>
            </w:pPr>
            <w:r w:rsidRPr="00A86AEC">
              <w:rPr>
                <w:rStyle w:val="SpecialBold"/>
              </w:rPr>
              <w:t>Context of assessment</w:t>
            </w:r>
          </w:p>
          <w:p w:rsidR="00000000" w:rsidRPr="00A86AEC" w:rsidP="00A86AEC">
            <w:pPr>
              <w:pStyle w:val="BodyText"/>
            </w:pPr>
            <w:r w:rsidRPr="00A86AEC">
              <w:t>Competency should be assessed in the workplace or under conditions which accurately simulate a realistic workplace in accordance with all relevant legislation and organisational requirements.</w:t>
            </w:r>
          </w:p>
          <w:p w:rsidR="00000000" w:rsidRPr="00A86AEC" w:rsidP="00A86AEC">
            <w:pPr>
              <w:pStyle w:val="BodyText"/>
            </w:pPr>
            <w:r w:rsidRPr="00A86AEC">
              <w:t>Evidence should be gathered through observ</w:t>
            </w:r>
            <w:r w:rsidRPr="00A86AEC">
              <w:t>ation of the practical component and targeted questioning to assess required knowledge.</w:t>
            </w:r>
          </w:p>
          <w:p w:rsidR="00000000" w:rsidRPr="00A86AEC" w:rsidP="00A86AEC">
            <w:pPr>
              <w:pStyle w:val="BodyText"/>
            </w:pPr>
            <w:r w:rsidRPr="00A86AEC">
              <w:rPr>
                <w:rStyle w:val="SpecialBold"/>
              </w:rPr>
              <w:t>Specific resources for assessment</w:t>
            </w:r>
          </w:p>
          <w:p w:rsidR="00000000" w:rsidRPr="00A86AEC" w:rsidP="00A86AEC">
            <w:pPr>
              <w:pStyle w:val="BodyText"/>
            </w:pPr>
            <w:r w:rsidRPr="00A86AEC">
              <w:t>Access is required to:</w:t>
            </w:r>
          </w:p>
          <w:p w:rsidR="00000000" w:rsidP="00A86AEC">
            <w:pPr>
              <w:pStyle w:val="ListBullet"/>
              <w:rPr>
                <w:lang w:val="en-NZ"/>
              </w:rPr>
            </w:pPr>
            <w:r w:rsidRPr="00A86AEC">
              <w:t>facilities and resources used in the packaging, storage, distribution and maintenance of explosive ordnance, i</w:t>
            </w:r>
            <w:r w:rsidRPr="00A86AEC">
              <w:t>ncluding a licensed explosive site</w:t>
            </w:r>
          </w:p>
        </w:tc>
      </w:tr>
      <w:tr w:rsidTr="002626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6AEC">
            <w:pPr>
              <w:pStyle w:val="BodyText"/>
              <w:rPr>
                <w:lang w:val="en-NZ"/>
              </w:rPr>
            </w:pPr>
            <w:r w:rsidRPr="00A86AEC">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A86AEC" w:rsidP="00A86AEC">
            <w:pPr>
              <w:pStyle w:val="BodyText"/>
            </w:pPr>
            <w:r w:rsidRPr="00A86AEC">
              <w:t>In a public safety environment assessment is usually conducted via direct observation in a training environment or in the workplace via subject matter supervision and/or mentoring, which is typically</w:t>
            </w:r>
            <w:r w:rsidRPr="00A86AEC">
              <w:t xml:space="preserve"> recorded in a competency workbook.</w:t>
            </w:r>
          </w:p>
          <w:p w:rsidR="00000000" w:rsidRPr="00A86AEC" w:rsidP="00A86AEC">
            <w:pPr>
              <w:pStyle w:val="BodyText"/>
            </w:pPr>
            <w:r w:rsidRPr="00A86AEC">
              <w:t>Assessment is completed using appropriately qualified assessors who select the most appropriate method of assessment.</w:t>
            </w:r>
          </w:p>
          <w:p w:rsidR="00000000" w:rsidRPr="00A86AEC" w:rsidP="00A86AEC">
            <w:pPr>
              <w:pStyle w:val="BodyText"/>
            </w:pPr>
            <w:r w:rsidRPr="00A86AEC">
              <w:t>Assessment may occur in an operational environment or in an industry-approved simulated work environme</w:t>
            </w:r>
            <w:r w:rsidRPr="00A86AEC">
              <w:t>nt. Forms of assessment that are typically used include:</w:t>
            </w:r>
          </w:p>
          <w:p w:rsidR="00000000" w:rsidRPr="00A86AEC" w:rsidP="00A86AEC">
            <w:pPr>
              <w:pStyle w:val="ListBullet"/>
            </w:pPr>
            <w:r w:rsidRPr="00A86AEC">
              <w:t>direct observation</w:t>
            </w:r>
          </w:p>
          <w:p w:rsidR="00000000" w:rsidRPr="00A86AEC" w:rsidP="00A86AEC">
            <w:pPr>
              <w:pStyle w:val="ListBullet"/>
            </w:pPr>
            <w:r w:rsidRPr="00A86AEC">
              <w:t>interviewing the candidate</w:t>
            </w:r>
          </w:p>
          <w:p w:rsidR="00000000" w:rsidRPr="00A86AEC" w:rsidP="00A86AEC">
            <w:pPr>
              <w:pStyle w:val="ListBullet"/>
            </w:pPr>
            <w:r w:rsidRPr="00A86AEC">
              <w:t>journals and workplace documentation</w:t>
            </w:r>
          </w:p>
          <w:p w:rsidR="00000000" w:rsidRPr="00A86AEC" w:rsidP="00A86AEC">
            <w:pPr>
              <w:pStyle w:val="ListBullet"/>
            </w:pPr>
            <w:r w:rsidRPr="00A86AEC">
              <w:t>third party reports from supervisors</w:t>
            </w:r>
          </w:p>
          <w:p w:rsidR="00000000" w:rsidRPr="00A86AEC" w:rsidP="00A86AEC">
            <w:pPr>
              <w:pStyle w:val="ListBullet"/>
            </w:pPr>
            <w:r w:rsidRPr="00A86AEC">
              <w:t>written or oral questions</w:t>
            </w:r>
          </w:p>
        </w:tc>
      </w:tr>
    </w:tbl>
    <w:p w:rsidR="00000000" w:rsidRPr="00A86AEC" w:rsidP="00A86AEC">
      <w:pPr>
        <w:pStyle w:val="BodyText"/>
      </w:pPr>
    </w:p>
    <w:p w:rsidR="00000000" w:rsidRPr="00A86AEC" w:rsidP="00A86AEC">
      <w:pPr>
        <w:pStyle w:val="AllowPageBreak"/>
      </w:pPr>
    </w:p>
    <w:p w:rsidR="00000000" w:rsidRPr="00A86AEC" w:rsidP="00A86AEC">
      <w:pPr>
        <w:pStyle w:val="Heading1"/>
      </w:pPr>
      <w:bookmarkStart w:id="11" w:name="O_518326"/>
      <w:bookmarkEnd w:id="11"/>
      <w:r w:rsidRPr="00A86AEC">
        <w:t>Range Statement</w:t>
      </w:r>
    </w:p>
    <w:tbl>
      <w:tblPr>
        <w:tblW w:w="0" w:type="auto"/>
        <w:tblLayout w:type="fixed"/>
        <w:tblCellMar>
          <w:left w:w="62" w:type="dxa"/>
          <w:right w:w="62" w:type="dxa"/>
        </w:tblCellMar>
        <w:tblLook w:val="0000"/>
      </w:tblPr>
      <w:tblGrid>
        <w:gridCol w:w="3060"/>
        <w:gridCol w:w="5580"/>
      </w:tblGrid>
      <w:tr w:rsidTr="002626F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t xml:space="preserve">The Range Statement relates to the Unit of Competency as a whole. It allows for different work environments and situations that may affect performance. </w:t>
            </w:r>
            <w:r w:rsidRPr="00A86AEC">
              <w:rPr>
                <w:rStyle w:val="BoldandItalics"/>
              </w:rPr>
              <w:t>Bold italicised</w:t>
            </w:r>
            <w:r w:rsidRPr="00A86AEC">
              <w:t xml:space="preserve"> wording in the Performance Criteria is detailed below.</w:t>
            </w:r>
          </w:p>
        </w:tc>
      </w:tr>
      <w:tr w:rsidTr="0026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rPr>
                <w:rStyle w:val="BoldandItalics"/>
              </w:rPr>
              <w:t>Small quantity facilities</w:t>
            </w:r>
            <w:r w:rsidRPr="00A86AEC">
              <w:t xml:space="preserve"> are defined as: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ListBullet"/>
              <w:rPr>
                <w:lang w:val="en-NZ"/>
              </w:rPr>
            </w:pPr>
            <w:r w:rsidRPr="00A86AEC">
              <w:t>Buildings, rooms, or special containers holding limited quantities of explosive ordnance of less than 50 kg net explosives quantity</w:t>
            </w:r>
          </w:p>
        </w:tc>
      </w:tr>
      <w:tr w:rsidTr="0026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rPr>
                <w:rStyle w:val="BoldandItalics"/>
              </w:rPr>
              <w:t xml:space="preserve">Organisation </w:t>
            </w:r>
            <w:r w:rsidRPr="00A86AE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EC" w:rsidP="00A86AEC">
            <w:pPr>
              <w:pStyle w:val="ListBullet"/>
            </w:pPr>
            <w:r w:rsidRPr="00A86AEC">
              <w:t>Defence organisation</w:t>
            </w:r>
          </w:p>
          <w:p w:rsidR="00000000" w:rsidRPr="00A86AEC" w:rsidP="00A86AEC">
            <w:pPr>
              <w:pStyle w:val="ListBullet"/>
            </w:pPr>
            <w:r w:rsidRPr="00A86AEC">
              <w:t xml:space="preserve">Enterprises that work with explosive ordnance </w:t>
            </w:r>
          </w:p>
          <w:p w:rsidR="00000000" w:rsidP="00A86AEC">
            <w:pPr>
              <w:pStyle w:val="ListBullet"/>
              <w:rPr>
                <w:lang w:val="en-NZ"/>
              </w:rPr>
            </w:pPr>
            <w:r w:rsidRPr="00A86AEC">
              <w:t>Other gove</w:t>
            </w:r>
            <w:r w:rsidRPr="00A86AEC">
              <w:t>rnment departments or instrumentalities that work with explosive ordnance</w:t>
            </w:r>
          </w:p>
        </w:tc>
      </w:tr>
      <w:tr w:rsidTr="0026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rPr>
                <w:rStyle w:val="BoldandItalics"/>
              </w:rPr>
              <w:t>Explosive limit licence</w:t>
            </w:r>
            <w:r w:rsidRPr="00A86AEC">
              <w:t xml:space="preserve"> is defined as: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ListBullet"/>
              <w:rPr>
                <w:lang w:val="en-NZ"/>
              </w:rPr>
            </w:pPr>
            <w:r w:rsidRPr="00A86AEC">
              <w:t>Document that provides the permitted net explosive quantities allowed in a building or site</w:t>
            </w:r>
          </w:p>
        </w:tc>
      </w:tr>
      <w:tr w:rsidTr="0026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rPr>
                <w:rStyle w:val="BoldandItalics"/>
              </w:rPr>
              <w:t>Storage plans</w:t>
            </w:r>
            <w:r w:rsidRPr="00A86AE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EC" w:rsidP="00A86AEC">
            <w:pPr>
              <w:pStyle w:val="ListBullet"/>
            </w:pPr>
            <w:r w:rsidRPr="00A86AEC">
              <w:t>Organisational documentation authorising the use and explosive content of an explosives facility</w:t>
            </w:r>
          </w:p>
          <w:p w:rsidR="00000000" w:rsidRPr="00A86AEC" w:rsidP="00A86AEC">
            <w:pPr>
              <w:pStyle w:val="ListBullet"/>
            </w:pPr>
            <w:r w:rsidRPr="00A86AEC">
              <w:t>Explosive content boards</w:t>
            </w:r>
          </w:p>
          <w:p w:rsidR="00000000" w:rsidRPr="00A86AEC" w:rsidP="00A86AEC">
            <w:pPr>
              <w:pStyle w:val="ListBullet"/>
            </w:pPr>
            <w:r w:rsidRPr="00A86AEC">
              <w:t>Other organisational storage plans</w:t>
            </w:r>
          </w:p>
          <w:p w:rsidR="00000000" w:rsidP="00A86AEC">
            <w:pPr>
              <w:pStyle w:val="ListBullet"/>
              <w:rPr>
                <w:lang w:val="en-NZ"/>
              </w:rPr>
            </w:pPr>
            <w:r w:rsidRPr="00A86AEC">
              <w:t>And may be electronic or paper-based</w:t>
            </w:r>
          </w:p>
        </w:tc>
      </w:tr>
      <w:tr w:rsidTr="0026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rPr>
                <w:rStyle w:val="BoldandItalics"/>
              </w:rPr>
              <w:t>Net explosive quantity</w:t>
            </w:r>
            <w:r w:rsidRPr="00A86AEC">
              <w: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EC" w:rsidP="00A86AEC">
            <w:pPr>
              <w:pStyle w:val="ListBullet"/>
            </w:pPr>
            <w:r w:rsidRPr="00A86AEC">
              <w:t xml:space="preserve">Is defined as quantity of explosive </w:t>
            </w:r>
            <w:r w:rsidRPr="00A86AEC">
              <w:t>substance in explosive items, facility and/or mode of transport</w:t>
            </w:r>
          </w:p>
          <w:p w:rsidR="00000000" w:rsidRPr="00A86AEC" w:rsidP="00A86AEC">
            <w:pPr>
              <w:pStyle w:val="ListBullet"/>
            </w:pPr>
            <w:r w:rsidRPr="00A86AEC">
              <w:t>Does not include such substances as white phosphorus, war gases or smoke and incendiary compositions unless these substances contribute significantly to the dominant hazard of the hazard divis</w:t>
            </w:r>
            <w:r w:rsidRPr="00A86AEC">
              <w:t>ion concerned</w:t>
            </w:r>
          </w:p>
          <w:p w:rsidR="00000000" w:rsidP="00A86AEC">
            <w:pPr>
              <w:pStyle w:val="ListBullet"/>
              <w:rPr>
                <w:lang w:val="en-NZ"/>
              </w:rPr>
            </w:pPr>
            <w:r w:rsidRPr="00A86AEC">
              <w:t>In imperial terms of measurement, equates to net explosive weight</w:t>
            </w:r>
          </w:p>
        </w:tc>
      </w:tr>
      <w:tr w:rsidTr="002626F0">
        <w:tblPrEx>
          <w:tblW w:w="0" w:type="auto"/>
          <w:tblLayout w:type="fixed"/>
          <w:tblCellMar>
            <w:left w:w="62" w:type="dxa"/>
            <w:right w:w="62" w:type="dxa"/>
          </w:tblCellMar>
          <w:tblLook w:val="0000"/>
        </w:tblPrEx>
        <w:trPr>
          <w:trHeight w:val="1019"/>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rPr>
                <w:rStyle w:val="BoldandItalics"/>
              </w:rPr>
              <w:t xml:space="preserve">Compatibility </w:t>
            </w:r>
            <w:r w:rsidRPr="00A86AEC">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ListBullet"/>
              <w:rPr>
                <w:lang w:val="en-NZ"/>
              </w:rPr>
            </w:pPr>
            <w:r w:rsidRPr="00A86AEC">
              <w:t>Where explosive ordnance and explosives may be stored and transported together without significantly increasing either the probability of an accident or, fo</w:t>
            </w:r>
            <w:r w:rsidRPr="00A86AEC">
              <w:t>r a given quantity, the magnitude of the effect of such an accident</w:t>
            </w:r>
          </w:p>
        </w:tc>
      </w:tr>
      <w:tr w:rsidTr="0026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rPr>
                <w:rStyle w:val="BoldandItalics"/>
              </w:rPr>
              <w:t xml:space="preserve">Calculations </w:t>
            </w:r>
            <w:r w:rsidRPr="00A86AE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EC" w:rsidP="00A86AEC">
            <w:pPr>
              <w:pStyle w:val="ListBullet"/>
            </w:pPr>
            <w:r w:rsidRPr="00A86AEC">
              <w:t>Compatibility</w:t>
            </w:r>
          </w:p>
          <w:p w:rsidR="00000000" w:rsidP="00A86AEC">
            <w:pPr>
              <w:pStyle w:val="ListBullet"/>
              <w:rPr>
                <w:lang w:val="en-NZ"/>
              </w:rPr>
            </w:pPr>
            <w:r w:rsidRPr="00A86AEC">
              <w:t>Net explosive quantities</w:t>
            </w:r>
          </w:p>
        </w:tc>
      </w:tr>
      <w:tr w:rsidTr="002626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EC">
            <w:pPr>
              <w:pStyle w:val="BodyText"/>
              <w:rPr>
                <w:lang w:val="en-NZ"/>
              </w:rPr>
            </w:pPr>
            <w:r w:rsidRPr="00A86AEC">
              <w:rPr>
                <w:rStyle w:val="BoldandItalics"/>
              </w:rPr>
              <w:t>Documentation and records</w:t>
            </w:r>
            <w:r w:rsidRPr="00A86AE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EC" w:rsidP="00A86AEC">
            <w:pPr>
              <w:pStyle w:val="ListBullet"/>
            </w:pPr>
            <w:r w:rsidRPr="00A86AEC">
              <w:t>Receipt and issue records</w:t>
            </w:r>
          </w:p>
          <w:p w:rsidR="00000000" w:rsidRPr="00A86AEC" w:rsidP="00A86AEC">
            <w:pPr>
              <w:pStyle w:val="ListBullet"/>
            </w:pPr>
            <w:r w:rsidRPr="00A86AEC">
              <w:t>Storage plans</w:t>
            </w:r>
          </w:p>
          <w:p w:rsidR="00000000" w:rsidRPr="00A86AEC" w:rsidP="00A86AEC">
            <w:pPr>
              <w:pStyle w:val="ListBullet"/>
            </w:pPr>
            <w:r w:rsidRPr="00A86AEC">
              <w:t>Timesheets</w:t>
            </w:r>
          </w:p>
          <w:p w:rsidR="00000000" w:rsidRPr="00A86AEC" w:rsidP="00A86AEC">
            <w:pPr>
              <w:pStyle w:val="ListBullet"/>
            </w:pPr>
            <w:r w:rsidRPr="00A86AEC">
              <w:t>Work records</w:t>
            </w:r>
          </w:p>
        </w:tc>
      </w:tr>
    </w:tbl>
    <w:p w:rsidR="00000000" w:rsidRPr="00A86AEC" w:rsidP="00A86AEC">
      <w:pPr>
        <w:pStyle w:val="BodyText"/>
      </w:pPr>
    </w:p>
    <w:p w:rsidR="00000000" w:rsidRPr="00A86AEC" w:rsidP="00A86AEC">
      <w:pPr>
        <w:pStyle w:val="AllowPageBreak"/>
      </w:pPr>
    </w:p>
    <w:p w:rsidR="00000000" w:rsidRPr="00A86AEC" w:rsidP="00A86AEC">
      <w:pPr>
        <w:pStyle w:val="Heading1"/>
      </w:pPr>
      <w:bookmarkStart w:id="12" w:name="O_518325"/>
      <w:bookmarkEnd w:id="12"/>
      <w:r w:rsidRPr="00A86AEC">
        <w:t>Unit Sector(s)</w:t>
      </w:r>
    </w:p>
    <w:p w:rsidR="00000000" w:rsidRPr="00A86AEC" w:rsidP="00A86AEC">
      <w:pPr>
        <w:pStyle w:val="BodyText"/>
      </w:pPr>
      <w:r w:rsidRPr="00A86AEC">
        <w:t>Not applicable.</w:t>
      </w:r>
    </w:p>
    <w:p w:rsidR="00000000" w:rsidRPr="00A86AEC" w:rsidP="00A86AEC"/>
    <w:sectPr w:rsidSect="00A86A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EC" w:rsidRPr="002626F0" w:rsidP="002626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6F0" w:rsidP="00A86A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26F0" w:rsidP="00A86AE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2626F0" w:rsidP="00A86A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EC" w:rsidRPr="002626F0" w:rsidP="002626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6F0" w:rsidRPr="002D2AF8" w:rsidP="00A86AEC">
    <w:pPr>
      <w:pStyle w:val="Header"/>
      <w:framePr w:wrap="around"/>
    </w:pPr>
    <w:r>
      <w:fldChar w:fldCharType="begin"/>
    </w:r>
    <w:r>
      <w:instrText xml:space="preserve"> TITLE   \* MERGEFORMAT </w:instrText>
    </w:r>
    <w:r>
      <w:fldChar w:fldCharType="separate"/>
    </w:r>
    <w:r>
      <w:t>DEFEO216A Operate a small quantity explosive ordnance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2626F0" w:rsidP="00A86A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C2B4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78C6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A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AEC"/>
    <w:pPr>
      <w:spacing w:before="360" w:after="60"/>
      <w:outlineLvl w:val="0"/>
    </w:pPr>
    <w:rPr>
      <w:sz w:val="32"/>
    </w:rPr>
  </w:style>
  <w:style w:type="paragraph" w:styleId="Heading2">
    <w:name w:val="heading 2"/>
    <w:basedOn w:val="HeadingBase"/>
    <w:next w:val="BodyText"/>
    <w:link w:val="Heading2Char"/>
    <w:qFormat/>
    <w:rsid w:val="00A86AEC"/>
    <w:pPr>
      <w:keepLines/>
      <w:spacing w:before="240" w:after="120"/>
      <w:outlineLvl w:val="1"/>
    </w:pPr>
    <w:rPr>
      <w:sz w:val="28"/>
      <w:szCs w:val="40"/>
    </w:rPr>
  </w:style>
  <w:style w:type="paragraph" w:styleId="Heading3">
    <w:name w:val="heading 3"/>
    <w:basedOn w:val="HeadingBase"/>
    <w:next w:val="BodyText"/>
    <w:link w:val="Heading3Char"/>
    <w:qFormat/>
    <w:rsid w:val="00A86AEC"/>
    <w:pPr>
      <w:spacing w:before="180" w:after="120"/>
      <w:outlineLvl w:val="2"/>
    </w:pPr>
    <w:rPr>
      <w:spacing w:val="-10"/>
      <w:kern w:val="32"/>
    </w:rPr>
  </w:style>
  <w:style w:type="paragraph" w:styleId="Heading4">
    <w:name w:val="heading 4"/>
    <w:basedOn w:val="HeadingBase"/>
    <w:next w:val="BodyText"/>
    <w:link w:val="Heading4Char"/>
    <w:qFormat/>
    <w:rsid w:val="00A86AEC"/>
    <w:pPr>
      <w:spacing w:before="160" w:after="120"/>
      <w:outlineLvl w:val="3"/>
    </w:pPr>
    <w:rPr>
      <w:sz w:val="22"/>
    </w:rPr>
  </w:style>
  <w:style w:type="paragraph" w:styleId="Heading5">
    <w:name w:val="heading 5"/>
    <w:basedOn w:val="HeadingBase"/>
    <w:next w:val="Normal"/>
    <w:link w:val="Heading5Char"/>
    <w:qFormat/>
    <w:rsid w:val="00A86AEC"/>
    <w:pPr>
      <w:spacing w:before="80"/>
      <w:outlineLvl w:val="4"/>
    </w:pPr>
    <w:rPr>
      <w:color w:val="918585"/>
      <w:sz w:val="20"/>
    </w:rPr>
  </w:style>
  <w:style w:type="paragraph" w:styleId="Heading6">
    <w:name w:val="heading 6"/>
    <w:basedOn w:val="HeadingBase"/>
    <w:next w:val="Normal"/>
    <w:link w:val="Heading6Char"/>
    <w:qFormat/>
    <w:rsid w:val="00A86AEC"/>
    <w:pPr>
      <w:spacing w:before="60"/>
      <w:outlineLvl w:val="5"/>
    </w:pPr>
    <w:rPr>
      <w:color w:val="918585"/>
      <w:sz w:val="20"/>
    </w:rPr>
  </w:style>
  <w:style w:type="paragraph" w:styleId="Heading7">
    <w:name w:val="heading 7"/>
    <w:basedOn w:val="Normal"/>
    <w:next w:val="Normal"/>
    <w:link w:val="Heading7Char"/>
    <w:qFormat/>
    <w:rsid w:val="00A86AEC"/>
    <w:pPr>
      <w:ind w:left="720"/>
      <w:outlineLvl w:val="6"/>
    </w:pPr>
    <w:rPr>
      <w:i/>
    </w:rPr>
  </w:style>
  <w:style w:type="paragraph" w:styleId="Heading8">
    <w:name w:val="heading 8"/>
    <w:basedOn w:val="Normal"/>
    <w:next w:val="Normal"/>
    <w:link w:val="Heading8Char"/>
    <w:qFormat/>
    <w:rsid w:val="00A86AEC"/>
    <w:pPr>
      <w:ind w:left="720"/>
      <w:outlineLvl w:val="7"/>
    </w:pPr>
    <w:rPr>
      <w:i/>
    </w:rPr>
  </w:style>
  <w:style w:type="paragraph" w:styleId="Heading9">
    <w:name w:val="heading 9"/>
    <w:basedOn w:val="Normal"/>
    <w:next w:val="Normal"/>
    <w:link w:val="Heading9Char"/>
    <w:qFormat/>
    <w:rsid w:val="00A86AEC"/>
    <w:pPr>
      <w:ind w:left="720"/>
      <w:outlineLvl w:val="8"/>
    </w:pPr>
    <w:rPr>
      <w:i/>
    </w:rPr>
  </w:style>
  <w:style w:type="character" w:default="1" w:styleId="DefaultParagraphFont">
    <w:name w:val="Default Paragraph Font"/>
    <w:uiPriority w:val="1"/>
    <w:unhideWhenUsed/>
    <w:rsid w:val="00A86A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AEC"/>
  </w:style>
  <w:style w:type="character" w:customStyle="1" w:styleId="Heading1Char">
    <w:name w:val="Heading 1 Char"/>
    <w:basedOn w:val="DefaultParagraphFont"/>
    <w:link w:val="Heading1"/>
    <w:rsid w:val="00A86AEC"/>
    <w:rPr>
      <w:rFonts w:ascii="Times New Roman" w:eastAsia="Times New Roman" w:hAnsi="Times New Roman" w:cs="Times New Roman"/>
      <w:b/>
      <w:sz w:val="32"/>
      <w:szCs w:val="20"/>
      <w:lang w:eastAsia="en-US"/>
    </w:rPr>
  </w:style>
  <w:style w:type="paragraph" w:styleId="BodyText">
    <w:name w:val="Body Text"/>
    <w:basedOn w:val="Normal"/>
    <w:link w:val="BodyTextChar"/>
    <w:rsid w:val="00A86A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AEC"/>
    <w:rPr>
      <w:rFonts w:ascii="Times New Roman" w:eastAsia="Times New Roman" w:hAnsi="Times New Roman" w:cs="Times New Roman"/>
      <w:sz w:val="24"/>
      <w:lang w:eastAsia="en-US"/>
    </w:rPr>
  </w:style>
  <w:style w:type="paragraph" w:styleId="List">
    <w:name w:val="List"/>
    <w:basedOn w:val="BodyText"/>
    <w:next w:val="BodyText"/>
    <w:rsid w:val="00A86AEC"/>
    <w:pPr>
      <w:tabs>
        <w:tab w:val="left" w:pos="340"/>
      </w:tabs>
      <w:spacing w:before="60" w:after="60"/>
      <w:ind w:left="340" w:hanging="340"/>
    </w:pPr>
  </w:style>
  <w:style w:type="paragraph" w:styleId="ListBullet">
    <w:name w:val="List Bullet"/>
    <w:basedOn w:val="List"/>
    <w:rsid w:val="00A86AEC"/>
    <w:pPr>
      <w:numPr>
        <w:numId w:val="12"/>
      </w:numPr>
      <w:tabs>
        <w:tab w:val="clear" w:pos="340"/>
      </w:tabs>
      <w:spacing w:before="40" w:after="40"/>
    </w:pPr>
  </w:style>
  <w:style w:type="character" w:customStyle="1" w:styleId="SpecialBold">
    <w:name w:val="Special Bold"/>
    <w:basedOn w:val="DefaultParagraphFont"/>
    <w:rsid w:val="00A86AEC"/>
    <w:rPr>
      <w:b/>
      <w:spacing w:val="0"/>
    </w:rPr>
  </w:style>
  <w:style w:type="paragraph" w:customStyle="1" w:styleId="SuperHeading">
    <w:name w:val="SuperHeading"/>
    <w:basedOn w:val="Normal"/>
    <w:rsid w:val="00A86AEC"/>
    <w:pPr>
      <w:spacing w:before="240" w:after="120"/>
      <w:outlineLvl w:val="0"/>
    </w:pPr>
    <w:rPr>
      <w:rFonts w:ascii="Times New Roman" w:hAnsi="Times New Roman"/>
      <w:b/>
      <w:sz w:val="32"/>
    </w:rPr>
  </w:style>
  <w:style w:type="paragraph" w:customStyle="1" w:styleId="AllowPageBreak">
    <w:name w:val="AllowPageBreak"/>
    <w:rsid w:val="00A86A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6AEC"/>
    <w:rPr>
      <w:b/>
      <w:i/>
      <w:u w:val="none"/>
    </w:rPr>
  </w:style>
  <w:style w:type="character" w:customStyle="1" w:styleId="Heading2Char">
    <w:name w:val="Heading 2 Char"/>
    <w:basedOn w:val="DefaultParagraphFont"/>
    <w:link w:val="Heading2"/>
    <w:rsid w:val="00A86A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A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A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A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A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A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A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AEC"/>
    <w:rPr>
      <w:rFonts w:ascii="Courier New" w:eastAsia="Times New Roman" w:hAnsi="Courier New" w:cs="Times New Roman"/>
      <w:i/>
      <w:szCs w:val="20"/>
      <w:lang w:eastAsia="en-US"/>
    </w:rPr>
  </w:style>
  <w:style w:type="paragraph" w:customStyle="1" w:styleId="HeadingBase">
    <w:name w:val="Heading Base"/>
    <w:rsid w:val="00A86A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AEC"/>
    <w:pPr>
      <w:tabs>
        <w:tab w:val="right" w:leader="dot" w:pos="9072"/>
      </w:tabs>
      <w:ind w:left="567"/>
    </w:pPr>
    <w:rPr>
      <w:szCs w:val="22"/>
    </w:rPr>
  </w:style>
  <w:style w:type="paragraph" w:customStyle="1" w:styleId="TOCBase">
    <w:name w:val="TOC Base"/>
    <w:rsid w:val="00A86A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AEC"/>
    <w:pPr>
      <w:tabs>
        <w:tab w:val="right" w:leader="dot" w:pos="9072"/>
      </w:tabs>
      <w:spacing w:before="40" w:after="40"/>
      <w:ind w:left="284"/>
    </w:pPr>
    <w:rPr>
      <w:rFonts w:ascii="Times New Roman" w:hAnsi="Times New Roman"/>
    </w:rPr>
  </w:style>
  <w:style w:type="paragraph" w:styleId="TOC1">
    <w:name w:val="toc 1"/>
    <w:basedOn w:val="TOCBase"/>
    <w:next w:val="Normal"/>
    <w:rsid w:val="00A86A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A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AEC"/>
    <w:rPr>
      <w:rFonts w:ascii="Times New Roman" w:eastAsia="Times New Roman" w:hAnsi="Times New Roman" w:cs="Times New Roman"/>
      <w:sz w:val="16"/>
      <w:lang w:eastAsia="en-US"/>
    </w:rPr>
  </w:style>
  <w:style w:type="paragraph" w:styleId="Title">
    <w:name w:val="Title"/>
    <w:basedOn w:val="HeadingBase"/>
    <w:link w:val="TitleChar"/>
    <w:qFormat/>
    <w:rsid w:val="00A86AEC"/>
    <w:pPr>
      <w:spacing w:before="5040"/>
      <w:jc w:val="center"/>
    </w:pPr>
    <w:rPr>
      <w:sz w:val="48"/>
      <w:szCs w:val="72"/>
      <w:lang w:val="en-US"/>
    </w:rPr>
  </w:style>
  <w:style w:type="character" w:customStyle="1" w:styleId="TitleChar">
    <w:name w:val="Title Char"/>
    <w:basedOn w:val="DefaultParagraphFont"/>
    <w:link w:val="Title"/>
    <w:rsid w:val="00A86A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AEC"/>
    <w:pPr>
      <w:tabs>
        <w:tab w:val="left" w:pos="3600"/>
        <w:tab w:val="left" w:pos="3958"/>
      </w:tabs>
    </w:pPr>
  </w:style>
  <w:style w:type="paragraph" w:customStyle="1" w:styleId="Note">
    <w:name w:val="Note"/>
    <w:basedOn w:val="BodyText"/>
    <w:rsid w:val="00A86A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AEC"/>
    <w:pPr>
      <w:framePr w:wrap="auto" w:hAnchor="text" w:y="6049"/>
    </w:pPr>
    <w:rPr>
      <w:color w:val="000000"/>
      <w:sz w:val="40"/>
    </w:rPr>
  </w:style>
  <w:style w:type="paragraph" w:customStyle="1" w:styleId="TOCTitle">
    <w:name w:val="TOCTitle"/>
    <w:basedOn w:val="Heading1"/>
    <w:rsid w:val="00A86AEC"/>
    <w:pPr>
      <w:spacing w:after="240"/>
      <w:jc w:val="center"/>
      <w:outlineLvl w:val="9"/>
    </w:pPr>
    <w:rPr>
      <w:caps/>
    </w:rPr>
  </w:style>
  <w:style w:type="paragraph" w:customStyle="1" w:styleId="Version">
    <w:name w:val="Version"/>
    <w:rsid w:val="00A86A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AEC"/>
    <w:pPr>
      <w:numPr>
        <w:numId w:val="13"/>
      </w:numPr>
      <w:tabs>
        <w:tab w:val="clear" w:pos="680"/>
      </w:tabs>
    </w:pPr>
  </w:style>
  <w:style w:type="paragraph" w:styleId="Index1">
    <w:name w:val="index 1"/>
    <w:basedOn w:val="Normal"/>
    <w:next w:val="Normal"/>
    <w:semiHidden/>
    <w:rsid w:val="00A86AEC"/>
    <w:pPr>
      <w:keepNext w:val="0"/>
      <w:tabs>
        <w:tab w:val="right" w:pos="4176"/>
      </w:tabs>
      <w:ind w:left="198" w:hanging="198"/>
    </w:pPr>
    <w:rPr>
      <w:rFonts w:ascii="Garamond" w:hAnsi="Garamond"/>
    </w:rPr>
  </w:style>
  <w:style w:type="paragraph" w:styleId="IndexHeading">
    <w:name w:val="index heading"/>
    <w:basedOn w:val="Normal"/>
    <w:next w:val="Index1"/>
    <w:semiHidden/>
    <w:rsid w:val="00A86AEC"/>
    <w:pPr>
      <w:spacing w:before="120" w:after="120"/>
    </w:pPr>
    <w:rPr>
      <w:rFonts w:ascii="Arial" w:hAnsi="Arial"/>
      <w:b/>
      <w:color w:val="918585"/>
      <w:sz w:val="24"/>
    </w:rPr>
  </w:style>
  <w:style w:type="paragraph" w:styleId="Header">
    <w:name w:val="header"/>
    <w:basedOn w:val="Normal"/>
    <w:link w:val="HeaderChar"/>
    <w:rsid w:val="00A86A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AEC"/>
    <w:rPr>
      <w:rFonts w:ascii="Times New Roman" w:eastAsia="Times New Roman" w:hAnsi="Times New Roman" w:cs="Times New Roman"/>
      <w:sz w:val="16"/>
      <w:szCs w:val="20"/>
      <w:lang w:val="en-GB" w:eastAsia="en-US"/>
    </w:rPr>
  </w:style>
  <w:style w:type="paragraph" w:customStyle="1" w:styleId="Chapter">
    <w:name w:val="Chapter"/>
    <w:basedOn w:val="Normal"/>
    <w:rsid w:val="00A86AEC"/>
    <w:pPr>
      <w:spacing w:before="240"/>
    </w:pPr>
    <w:rPr>
      <w:rFonts w:ascii="Times New Roman" w:hAnsi="Times New Roman"/>
      <w:smallCaps/>
      <w:spacing w:val="80"/>
      <w:sz w:val="28"/>
    </w:rPr>
  </w:style>
  <w:style w:type="paragraph" w:customStyle="1" w:styleId="InChapter">
    <w:name w:val="InChapter"/>
    <w:basedOn w:val="Heading3"/>
    <w:rsid w:val="00A86AEC"/>
    <w:pPr>
      <w:spacing w:after="240"/>
      <w:outlineLvl w:val="9"/>
    </w:pPr>
    <w:rPr>
      <w:noProof/>
    </w:rPr>
  </w:style>
  <w:style w:type="paragraph" w:styleId="Index2">
    <w:name w:val="index 2"/>
    <w:basedOn w:val="Normal"/>
    <w:next w:val="Normal"/>
    <w:semiHidden/>
    <w:rsid w:val="00A86AEC"/>
    <w:pPr>
      <w:tabs>
        <w:tab w:val="right" w:pos="4176"/>
      </w:tabs>
      <w:ind w:left="568" w:hanging="284"/>
    </w:pPr>
    <w:rPr>
      <w:rFonts w:ascii="Garamond" w:hAnsi="Garamond"/>
    </w:rPr>
  </w:style>
  <w:style w:type="paragraph" w:customStyle="1" w:styleId="Byline">
    <w:name w:val="Byline"/>
    <w:rsid w:val="00A86A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AEC"/>
    <w:pPr>
      <w:tabs>
        <w:tab w:val="clear" w:pos="3600"/>
        <w:tab w:val="clear" w:pos="3958"/>
      </w:tabs>
      <w:jc w:val="right"/>
    </w:pPr>
  </w:style>
  <w:style w:type="character" w:styleId="Emphasis">
    <w:name w:val="Emphasis"/>
    <w:basedOn w:val="DefaultParagraphFont"/>
    <w:qFormat/>
    <w:rsid w:val="00A86AEC"/>
    <w:rPr>
      <w:i/>
    </w:rPr>
  </w:style>
  <w:style w:type="paragraph" w:styleId="Caption">
    <w:name w:val="caption"/>
    <w:basedOn w:val="BodyText"/>
    <w:next w:val="Normal"/>
    <w:qFormat/>
    <w:rsid w:val="00A86AEC"/>
    <w:pPr>
      <w:framePr w:w="2268" w:hSpace="181" w:vSpace="181" w:wrap="around" w:vAnchor="text" w:hAnchor="page" w:x="1135" w:y="285" w:anchorLock="1"/>
    </w:pPr>
    <w:rPr>
      <w:i/>
    </w:rPr>
  </w:style>
  <w:style w:type="paragraph" w:customStyle="1" w:styleId="MiniTOCTitle">
    <w:name w:val="MiniTOCTitle"/>
    <w:basedOn w:val="Heading4"/>
    <w:rsid w:val="00A86AEC"/>
    <w:pPr>
      <w:spacing w:before="240"/>
      <w:outlineLvl w:val="9"/>
    </w:pPr>
    <w:rPr>
      <w:noProof/>
      <w:sz w:val="24"/>
    </w:rPr>
  </w:style>
  <w:style w:type="paragraph" w:customStyle="1" w:styleId="MiniTOCItem">
    <w:name w:val="MiniTOCItem"/>
    <w:basedOn w:val="ListBullet"/>
    <w:rsid w:val="00A86AEC"/>
    <w:pPr>
      <w:numPr>
        <w:numId w:val="0"/>
      </w:numPr>
      <w:tabs>
        <w:tab w:val="right" w:leader="dot" w:pos="6521"/>
      </w:tabs>
      <w:spacing w:before="0" w:after="0"/>
    </w:pPr>
  </w:style>
  <w:style w:type="paragraph" w:customStyle="1" w:styleId="TOFTitle">
    <w:name w:val="TOFTitle"/>
    <w:basedOn w:val="TOCTitle"/>
    <w:rsid w:val="00A86AEC"/>
  </w:style>
  <w:style w:type="paragraph" w:styleId="TableofFigures">
    <w:name w:val="table of figures"/>
    <w:basedOn w:val="Normal"/>
    <w:next w:val="Normal"/>
    <w:semiHidden/>
    <w:rsid w:val="00A86AEC"/>
    <w:pPr>
      <w:tabs>
        <w:tab w:val="right" w:leader="dot" w:pos="9072"/>
      </w:tabs>
      <w:ind w:left="970" w:hanging="403"/>
    </w:pPr>
    <w:rPr>
      <w:rFonts w:ascii="Times New Roman" w:hAnsi="Times New Roman"/>
      <w:b/>
    </w:rPr>
  </w:style>
  <w:style w:type="paragraph" w:styleId="ListNumber">
    <w:name w:val="List Number"/>
    <w:basedOn w:val="List"/>
    <w:rsid w:val="00A86AEC"/>
    <w:pPr>
      <w:numPr>
        <w:numId w:val="10"/>
      </w:numPr>
    </w:pPr>
  </w:style>
  <w:style w:type="character" w:customStyle="1" w:styleId="WingdingSymbols">
    <w:name w:val="Wingding Symbols"/>
    <w:rsid w:val="00A86AEC"/>
    <w:rPr>
      <w:rFonts w:ascii="Wingdings" w:hAnsi="Wingdings"/>
    </w:rPr>
  </w:style>
  <w:style w:type="paragraph" w:customStyle="1" w:styleId="TableHeading">
    <w:name w:val="Table Heading"/>
    <w:basedOn w:val="HeadingBase"/>
    <w:rsid w:val="00A86AEC"/>
    <w:pPr>
      <w:keepLines/>
      <w:pBdr>
        <w:bottom w:val="single" w:sz="6" w:space="1" w:color="918585"/>
      </w:pBdr>
      <w:spacing w:before="240"/>
    </w:pPr>
  </w:style>
  <w:style w:type="character" w:customStyle="1" w:styleId="HotSpot">
    <w:name w:val="HotSpot"/>
    <w:rsid w:val="00A86AEC"/>
    <w:rPr>
      <w:color w:val="0033CC"/>
      <w:u w:val="none"/>
    </w:rPr>
  </w:style>
  <w:style w:type="paragraph" w:customStyle="1" w:styleId="BodyTextRight">
    <w:name w:val="Body Text Right"/>
    <w:basedOn w:val="BodyText"/>
    <w:rsid w:val="00A86AEC"/>
    <w:pPr>
      <w:spacing w:before="0" w:after="0"/>
      <w:jc w:val="right"/>
    </w:pPr>
  </w:style>
  <w:style w:type="paragraph" w:styleId="Index3">
    <w:name w:val="index 3"/>
    <w:basedOn w:val="ListNumber2"/>
    <w:next w:val="Normal"/>
    <w:semiHidden/>
    <w:rsid w:val="00A86AEC"/>
    <w:pPr>
      <w:numPr>
        <w:numId w:val="0"/>
      </w:numPr>
      <w:tabs>
        <w:tab w:val="right" w:leader="dot" w:pos="4176"/>
      </w:tabs>
    </w:pPr>
  </w:style>
  <w:style w:type="paragraph" w:styleId="ListNumber2">
    <w:name w:val="List Number 2"/>
    <w:basedOn w:val="List2"/>
    <w:rsid w:val="00A86AEC"/>
    <w:pPr>
      <w:numPr>
        <w:numId w:val="9"/>
      </w:numPr>
      <w:tabs>
        <w:tab w:val="clear" w:pos="1060"/>
      </w:tabs>
    </w:pPr>
  </w:style>
  <w:style w:type="paragraph" w:customStyle="1" w:styleId="MarginNote">
    <w:name w:val="Margin Note"/>
    <w:basedOn w:val="BodyText"/>
    <w:rsid w:val="00A86A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A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A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AEC"/>
    <w:rPr>
      <w:sz w:val="32"/>
    </w:rPr>
  </w:style>
  <w:style w:type="paragraph" w:customStyle="1" w:styleId="HeadingProcedure">
    <w:name w:val="Heading Procedure"/>
    <w:basedOn w:val="HeadingBase"/>
    <w:next w:val="Normal"/>
    <w:rsid w:val="00A86AEC"/>
    <w:pPr>
      <w:tabs>
        <w:tab w:val="left" w:pos="0"/>
      </w:tabs>
      <w:spacing w:before="120" w:after="60"/>
    </w:pPr>
    <w:rPr>
      <w:i/>
      <w:color w:val="918585"/>
      <w:sz w:val="22"/>
    </w:rPr>
  </w:style>
  <w:style w:type="paragraph" w:customStyle="1" w:styleId="TableBodyText">
    <w:name w:val="Table Body Text"/>
    <w:basedOn w:val="BodyText"/>
    <w:rsid w:val="00A86AEC"/>
    <w:pPr>
      <w:spacing w:before="60" w:after="60"/>
    </w:pPr>
  </w:style>
  <w:style w:type="paragraph" w:styleId="ListContinue">
    <w:name w:val="List Continue"/>
    <w:basedOn w:val="List"/>
    <w:rsid w:val="00A86AEC"/>
    <w:pPr>
      <w:ind w:firstLine="0"/>
    </w:pPr>
  </w:style>
  <w:style w:type="paragraph" w:customStyle="1" w:styleId="ListNote">
    <w:name w:val="List Note"/>
    <w:basedOn w:val="List"/>
    <w:rsid w:val="00A86AEC"/>
    <w:pPr>
      <w:pBdr>
        <w:top w:val="single" w:sz="6" w:space="2" w:color="918585"/>
        <w:bottom w:val="single" w:sz="6" w:space="2" w:color="918585"/>
      </w:pBdr>
      <w:tabs>
        <w:tab w:val="left" w:pos="1021"/>
      </w:tabs>
      <w:ind w:firstLine="0"/>
    </w:pPr>
  </w:style>
  <w:style w:type="paragraph" w:customStyle="1" w:styleId="Warning">
    <w:name w:val="Warning"/>
    <w:basedOn w:val="BodyText"/>
    <w:rsid w:val="00A86AEC"/>
    <w:pPr>
      <w:shd w:val="clear" w:color="auto" w:fill="D9D9D9"/>
      <w:tabs>
        <w:tab w:val="left" w:pos="992"/>
      </w:tabs>
      <w:ind w:left="119" w:right="119"/>
    </w:pPr>
    <w:rPr>
      <w:sz w:val="20"/>
    </w:rPr>
  </w:style>
  <w:style w:type="paragraph" w:customStyle="1" w:styleId="MarginIcons">
    <w:name w:val="Margin Icons"/>
    <w:basedOn w:val="BodyText"/>
    <w:rsid w:val="00A86A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AEC"/>
    <w:rPr>
      <w:rFonts w:ascii="Courier New" w:hAnsi="Courier New"/>
    </w:rPr>
  </w:style>
  <w:style w:type="paragraph" w:customStyle="1" w:styleId="NoteBullet">
    <w:name w:val="Note Bullet"/>
    <w:basedOn w:val="Note"/>
    <w:rsid w:val="00A86AEC"/>
    <w:pPr>
      <w:tabs>
        <w:tab w:val="clear" w:pos="680"/>
      </w:tabs>
      <w:spacing w:before="60" w:after="60"/>
    </w:pPr>
  </w:style>
  <w:style w:type="paragraph" w:customStyle="1" w:styleId="SubHeading2">
    <w:name w:val="SubHeading2"/>
    <w:basedOn w:val="HeadingBase"/>
    <w:rsid w:val="00A86AEC"/>
    <w:pPr>
      <w:spacing w:before="240" w:after="60"/>
    </w:pPr>
    <w:rPr>
      <w:sz w:val="20"/>
    </w:rPr>
  </w:style>
  <w:style w:type="paragraph" w:customStyle="1" w:styleId="SubHeading1">
    <w:name w:val="SubHeading1"/>
    <w:basedOn w:val="HeadingBase"/>
    <w:rsid w:val="00A86AEC"/>
    <w:pPr>
      <w:spacing w:before="240" w:after="60"/>
    </w:pPr>
    <w:rPr>
      <w:color w:val="918585"/>
      <w:sz w:val="22"/>
    </w:rPr>
  </w:style>
  <w:style w:type="paragraph" w:customStyle="1" w:styleId="SideHeading">
    <w:name w:val="Side Heading"/>
    <w:basedOn w:val="HeadingBase"/>
    <w:rsid w:val="00A86A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AEC"/>
    <w:pPr>
      <w:tabs>
        <w:tab w:val="num" w:pos="360"/>
      </w:tabs>
    </w:pPr>
  </w:style>
  <w:style w:type="paragraph" w:styleId="PlainText">
    <w:name w:val="Plain Text"/>
    <w:basedOn w:val="Normal"/>
    <w:link w:val="PlainTextChar"/>
    <w:rsid w:val="00A86AEC"/>
    <w:rPr>
      <w:sz w:val="20"/>
    </w:rPr>
  </w:style>
  <w:style w:type="character" w:customStyle="1" w:styleId="PlainTextChar">
    <w:name w:val="Plain Text Char"/>
    <w:basedOn w:val="DefaultParagraphFont"/>
    <w:link w:val="PlainText"/>
    <w:rsid w:val="00A86AEC"/>
    <w:rPr>
      <w:rFonts w:ascii="Courier New" w:eastAsia="Times New Roman" w:hAnsi="Courier New" w:cs="Times New Roman"/>
      <w:sz w:val="20"/>
      <w:szCs w:val="20"/>
      <w:lang w:eastAsia="en-US"/>
    </w:rPr>
  </w:style>
  <w:style w:type="character" w:customStyle="1" w:styleId="MenuOption">
    <w:name w:val="Menu Option"/>
    <w:basedOn w:val="DefaultParagraphFont"/>
    <w:rsid w:val="00A86AEC"/>
    <w:rPr>
      <w:b/>
      <w:smallCaps/>
    </w:rPr>
  </w:style>
  <w:style w:type="paragraph" w:customStyle="1" w:styleId="TableListNumber">
    <w:name w:val="Table List Number"/>
    <w:basedOn w:val="ListNumber"/>
    <w:rsid w:val="00A86AEC"/>
    <w:pPr>
      <w:numPr>
        <w:numId w:val="0"/>
      </w:numPr>
    </w:pPr>
  </w:style>
  <w:style w:type="paragraph" w:styleId="TOC4">
    <w:name w:val="toc 4"/>
    <w:basedOn w:val="TOCBase"/>
    <w:next w:val="Normal"/>
    <w:semiHidden/>
    <w:rsid w:val="00A86AEC"/>
    <w:pPr>
      <w:tabs>
        <w:tab w:val="right" w:leader="dot" w:pos="9071"/>
      </w:tabs>
      <w:ind w:left="1701"/>
    </w:pPr>
  </w:style>
  <w:style w:type="paragraph" w:customStyle="1" w:styleId="ListAlpha">
    <w:name w:val="List Alpha"/>
    <w:basedOn w:val="List"/>
    <w:rsid w:val="00A86AEC"/>
    <w:pPr>
      <w:numPr>
        <w:numId w:val="8"/>
      </w:numPr>
    </w:pPr>
  </w:style>
  <w:style w:type="paragraph" w:customStyle="1" w:styleId="ListAlpha2">
    <w:name w:val="List Alpha 2"/>
    <w:basedOn w:val="List2"/>
    <w:rsid w:val="00A86AEC"/>
    <w:pPr>
      <w:numPr>
        <w:numId w:val="7"/>
      </w:numPr>
    </w:pPr>
  </w:style>
  <w:style w:type="paragraph" w:styleId="List2">
    <w:name w:val="List 2"/>
    <w:basedOn w:val="BodyText"/>
    <w:rsid w:val="00A86AEC"/>
    <w:pPr>
      <w:tabs>
        <w:tab w:val="left" w:pos="680"/>
      </w:tabs>
      <w:spacing w:before="60" w:after="60"/>
      <w:ind w:left="680" w:hanging="340"/>
    </w:pPr>
  </w:style>
  <w:style w:type="paragraph" w:styleId="List3">
    <w:name w:val="List 3"/>
    <w:basedOn w:val="BodyText"/>
    <w:rsid w:val="00A86AEC"/>
    <w:pPr>
      <w:tabs>
        <w:tab w:val="left" w:pos="1021"/>
      </w:tabs>
      <w:spacing w:before="60" w:after="60"/>
      <w:ind w:left="1020" w:hanging="340"/>
    </w:pPr>
  </w:style>
  <w:style w:type="paragraph" w:styleId="List4">
    <w:name w:val="List 4"/>
    <w:basedOn w:val="BodyText"/>
    <w:rsid w:val="00A86AEC"/>
    <w:pPr>
      <w:tabs>
        <w:tab w:val="left" w:pos="1361"/>
      </w:tabs>
      <w:spacing w:before="60" w:after="60"/>
      <w:ind w:left="1361" w:hanging="340"/>
    </w:pPr>
  </w:style>
  <w:style w:type="paragraph" w:styleId="List5">
    <w:name w:val="List 5"/>
    <w:basedOn w:val="BodyText"/>
    <w:rsid w:val="00A86AEC"/>
    <w:pPr>
      <w:tabs>
        <w:tab w:val="left" w:pos="1701"/>
      </w:tabs>
      <w:spacing w:before="60" w:after="60"/>
      <w:ind w:left="1701" w:hanging="340"/>
    </w:pPr>
  </w:style>
  <w:style w:type="paragraph" w:styleId="ListBullet3">
    <w:name w:val="List Bullet 3"/>
    <w:basedOn w:val="List3"/>
    <w:rsid w:val="00A86AEC"/>
    <w:pPr>
      <w:numPr>
        <w:numId w:val="14"/>
      </w:numPr>
      <w:tabs>
        <w:tab w:val="clear" w:pos="1021"/>
      </w:tabs>
      <w:ind w:left="1037" w:hanging="357"/>
    </w:pPr>
  </w:style>
  <w:style w:type="paragraph" w:styleId="ListBullet4">
    <w:name w:val="List Bullet 4"/>
    <w:basedOn w:val="List4"/>
    <w:rsid w:val="00A86AEC"/>
    <w:pPr>
      <w:numPr>
        <w:numId w:val="2"/>
      </w:numPr>
    </w:pPr>
  </w:style>
  <w:style w:type="paragraph" w:styleId="ListBullet5">
    <w:name w:val="List Bullet 5"/>
    <w:basedOn w:val="List5"/>
    <w:rsid w:val="00A86AEC"/>
    <w:pPr>
      <w:numPr>
        <w:numId w:val="3"/>
      </w:numPr>
    </w:pPr>
  </w:style>
  <w:style w:type="paragraph" w:styleId="ListContinue2">
    <w:name w:val="List Continue 2"/>
    <w:basedOn w:val="List2"/>
    <w:rsid w:val="00A86AEC"/>
    <w:pPr>
      <w:ind w:firstLine="0"/>
    </w:pPr>
  </w:style>
  <w:style w:type="paragraph" w:styleId="ListContinue3">
    <w:name w:val="List Continue 3"/>
    <w:basedOn w:val="List3"/>
    <w:rsid w:val="00A86AEC"/>
    <w:pPr>
      <w:ind w:left="1021" w:firstLine="0"/>
    </w:pPr>
  </w:style>
  <w:style w:type="paragraph" w:styleId="ListContinue4">
    <w:name w:val="List Continue 4"/>
    <w:basedOn w:val="List4"/>
    <w:rsid w:val="00A86AEC"/>
    <w:pPr>
      <w:ind w:firstLine="0"/>
    </w:pPr>
  </w:style>
  <w:style w:type="paragraph" w:styleId="ListContinue5">
    <w:name w:val="List Continue 5"/>
    <w:basedOn w:val="List5"/>
    <w:rsid w:val="00A86AEC"/>
    <w:pPr>
      <w:ind w:firstLine="0"/>
    </w:pPr>
  </w:style>
  <w:style w:type="paragraph" w:styleId="ListNumber3">
    <w:name w:val="List Number 3"/>
    <w:basedOn w:val="List3"/>
    <w:rsid w:val="00A86AEC"/>
    <w:pPr>
      <w:numPr>
        <w:numId w:val="4"/>
      </w:numPr>
    </w:pPr>
  </w:style>
  <w:style w:type="paragraph" w:styleId="ListNumber4">
    <w:name w:val="List Number 4"/>
    <w:basedOn w:val="List4"/>
    <w:rsid w:val="00A86AEC"/>
    <w:pPr>
      <w:numPr>
        <w:numId w:val="5"/>
      </w:numPr>
    </w:pPr>
  </w:style>
  <w:style w:type="paragraph" w:styleId="ListNumber5">
    <w:name w:val="List Number 5"/>
    <w:basedOn w:val="List5"/>
    <w:rsid w:val="00A86AEC"/>
    <w:pPr>
      <w:numPr>
        <w:numId w:val="6"/>
      </w:numPr>
    </w:pPr>
  </w:style>
  <w:style w:type="paragraph" w:styleId="BlockText">
    <w:name w:val="Block Text"/>
    <w:basedOn w:val="Normal"/>
    <w:rsid w:val="00A86AEC"/>
    <w:pPr>
      <w:spacing w:after="120"/>
      <w:ind w:left="1440" w:right="1440"/>
    </w:pPr>
  </w:style>
  <w:style w:type="character" w:customStyle="1" w:styleId="Subscript">
    <w:name w:val="Subscript"/>
    <w:basedOn w:val="DefaultParagraphFont"/>
    <w:rsid w:val="00A86AEC"/>
    <w:rPr>
      <w:sz w:val="16"/>
      <w:vertAlign w:val="subscript"/>
    </w:rPr>
  </w:style>
  <w:style w:type="character" w:customStyle="1" w:styleId="Superscript">
    <w:name w:val="Superscript"/>
    <w:basedOn w:val="DefaultParagraphFont"/>
    <w:rsid w:val="00A86AEC"/>
    <w:rPr>
      <w:sz w:val="16"/>
      <w:vertAlign w:val="superscript"/>
    </w:rPr>
  </w:style>
  <w:style w:type="character" w:customStyle="1" w:styleId="Symbols">
    <w:name w:val="Symbols"/>
    <w:basedOn w:val="DefaultParagraphFont"/>
    <w:rsid w:val="00A86AEC"/>
    <w:rPr>
      <w:rFonts w:ascii="Symbol" w:hAnsi="Symbol"/>
    </w:rPr>
  </w:style>
  <w:style w:type="character" w:customStyle="1" w:styleId="MenuOptions">
    <w:name w:val="Menu Options"/>
    <w:basedOn w:val="DefaultParagraphFont"/>
    <w:rsid w:val="00A86AEC"/>
    <w:rPr>
      <w:rFonts w:ascii="Arial Narrow" w:hAnsi="Arial Narrow"/>
      <w:smallCaps/>
    </w:rPr>
  </w:style>
  <w:style w:type="character" w:customStyle="1" w:styleId="Buttons">
    <w:name w:val="Buttons"/>
    <w:basedOn w:val="DefaultParagraphFont"/>
    <w:rsid w:val="00A86AEC"/>
    <w:rPr>
      <w:b/>
    </w:rPr>
  </w:style>
  <w:style w:type="character" w:customStyle="1" w:styleId="Underlined">
    <w:name w:val="Underlined"/>
    <w:basedOn w:val="DefaultParagraphFont"/>
    <w:rsid w:val="00A86AEC"/>
    <w:rPr>
      <w:u w:val="single"/>
    </w:rPr>
  </w:style>
  <w:style w:type="paragraph" w:customStyle="1" w:styleId="TableBodyTextRight">
    <w:name w:val="Table Body Text Right"/>
    <w:basedOn w:val="TableBodyText"/>
    <w:rsid w:val="00A86AEC"/>
    <w:pPr>
      <w:widowControl w:val="0"/>
      <w:autoSpaceDE w:val="0"/>
      <w:autoSpaceDN w:val="0"/>
      <w:adjustRightInd w:val="0"/>
      <w:jc w:val="right"/>
    </w:pPr>
    <w:rPr>
      <w:rFonts w:cs="Arial"/>
      <w:szCs w:val="18"/>
    </w:rPr>
  </w:style>
  <w:style w:type="paragraph" w:customStyle="1" w:styleId="CopyrightText">
    <w:name w:val="Copyright Text"/>
    <w:basedOn w:val="BodyText"/>
    <w:rsid w:val="00A86AEC"/>
    <w:rPr>
      <w:sz w:val="18"/>
    </w:rPr>
  </w:style>
  <w:style w:type="paragraph" w:customStyle="1" w:styleId="BodySmallRight">
    <w:name w:val="Body Small Right"/>
    <w:basedOn w:val="BodyTextRight"/>
    <w:rsid w:val="00A86AEC"/>
    <w:rPr>
      <w:sz w:val="18"/>
      <w:szCs w:val="18"/>
    </w:rPr>
  </w:style>
  <w:style w:type="paragraph" w:customStyle="1" w:styleId="MarginEdition">
    <w:name w:val="Margin Edition"/>
    <w:basedOn w:val="MarginNote"/>
    <w:rsid w:val="00A86AEC"/>
    <w:pPr>
      <w:spacing w:before="0" w:after="0"/>
    </w:pPr>
    <w:rPr>
      <w:rFonts w:ascii="Times New Roman" w:hAnsi="Times New Roman"/>
      <w:color w:val="999999"/>
    </w:rPr>
  </w:style>
  <w:style w:type="paragraph" w:customStyle="1" w:styleId="Spacer">
    <w:name w:val="Spacer"/>
    <w:basedOn w:val="Normal"/>
    <w:rsid w:val="00A86AEC"/>
    <w:rPr>
      <w:sz w:val="2"/>
      <w:szCs w:val="2"/>
    </w:rPr>
  </w:style>
  <w:style w:type="character" w:customStyle="1" w:styleId="Small">
    <w:name w:val="Small"/>
    <w:basedOn w:val="DefaultParagraphFont"/>
    <w:rsid w:val="00A86AEC"/>
    <w:rPr>
      <w:sz w:val="16"/>
    </w:rPr>
  </w:style>
  <w:style w:type="paragraph" w:customStyle="1" w:styleId="WideTable">
    <w:name w:val="Wide Table"/>
    <w:basedOn w:val="Normal"/>
    <w:rsid w:val="00A86AEC"/>
    <w:pPr>
      <w:ind w:left="-1418"/>
    </w:pPr>
    <w:rPr>
      <w:sz w:val="2"/>
      <w:szCs w:val="2"/>
    </w:rPr>
  </w:style>
  <w:style w:type="character" w:styleId="PageNumber">
    <w:name w:val="page number"/>
    <w:basedOn w:val="DefaultParagraphFont"/>
    <w:rsid w:val="00A86AEC"/>
  </w:style>
  <w:style w:type="paragraph" w:styleId="Quote">
    <w:name w:val="Quote"/>
    <w:basedOn w:val="Heading1"/>
    <w:link w:val="QuoteChar"/>
    <w:qFormat/>
    <w:rsid w:val="00A86AEC"/>
    <w:rPr>
      <w:b w:val="0"/>
      <w:sz w:val="72"/>
      <w:szCs w:val="72"/>
      <w:lang w:val="en-NZ"/>
    </w:rPr>
  </w:style>
  <w:style w:type="character" w:customStyle="1" w:styleId="QuoteChar">
    <w:name w:val="Quote Char"/>
    <w:basedOn w:val="DefaultParagraphFont"/>
    <w:link w:val="Quote"/>
    <w:rsid w:val="00A86A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AEC"/>
    <w:pPr>
      <w:pageBreakBefore/>
    </w:pPr>
  </w:style>
  <w:style w:type="paragraph" w:customStyle="1" w:styleId="Border">
    <w:name w:val="Border"/>
    <w:basedOn w:val="Normal"/>
    <w:qFormat/>
    <w:rsid w:val="00A86A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AEC"/>
    <w:rPr>
      <w:b/>
      <w:bCs/>
      <w:i/>
      <w:iCs/>
      <w:color w:val="auto"/>
    </w:rPr>
  </w:style>
  <w:style w:type="paragraph" w:styleId="IntenseQuote">
    <w:name w:val="Intense Quote"/>
    <w:basedOn w:val="Normal"/>
    <w:next w:val="Normal"/>
    <w:link w:val="IntenseQuoteChar"/>
    <w:uiPriority w:val="30"/>
    <w:qFormat/>
    <w:rsid w:val="00A86A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A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AEC"/>
    <w:rPr>
      <w:smallCaps/>
      <w:color w:val="auto"/>
      <w:u w:val="single"/>
    </w:rPr>
  </w:style>
  <w:style w:type="character" w:styleId="IntenseReference">
    <w:name w:val="Intense Reference"/>
    <w:basedOn w:val="DefaultParagraphFont"/>
    <w:uiPriority w:val="32"/>
    <w:qFormat/>
    <w:rsid w:val="00A86AEC"/>
    <w:rPr>
      <w:b/>
      <w:bCs/>
      <w:smallCaps/>
      <w:color w:val="auto"/>
      <w:spacing w:val="5"/>
      <w:u w:val="single"/>
    </w:rPr>
  </w:style>
  <w:style w:type="paragraph" w:customStyle="1" w:styleId="2ColumnHeading">
    <w:name w:val="2Column Heading"/>
    <w:basedOn w:val="BodyText"/>
    <w:qFormat/>
    <w:rsid w:val="00A86AEC"/>
    <w:pPr>
      <w:spacing w:after="60"/>
      <w:ind w:left="-2268"/>
    </w:pPr>
    <w:rPr>
      <w:b/>
    </w:rPr>
  </w:style>
  <w:style w:type="paragraph" w:customStyle="1" w:styleId="Heading1TOC">
    <w:name w:val="Heading1 TOC"/>
    <w:basedOn w:val="Normal"/>
    <w:qFormat/>
    <w:rsid w:val="00A86AEC"/>
    <w:pPr>
      <w:spacing w:before="240" w:after="120"/>
    </w:pPr>
    <w:rPr>
      <w:rFonts w:ascii="Times New Roman" w:hAnsi="Times New Roman"/>
      <w:b/>
      <w:sz w:val="32"/>
    </w:rPr>
  </w:style>
  <w:style w:type="paragraph" w:customStyle="1" w:styleId="Heading2TOC">
    <w:name w:val="Heading2 TOC"/>
    <w:basedOn w:val="Normal"/>
    <w:qFormat/>
    <w:rsid w:val="00A86AEC"/>
    <w:pPr>
      <w:spacing w:before="240" w:after="60"/>
    </w:pPr>
    <w:rPr>
      <w:rFonts w:ascii="Times New Roman" w:hAnsi="Times New Roman"/>
      <w:b/>
      <w:sz w:val="28"/>
    </w:rPr>
  </w:style>
  <w:style w:type="character" w:customStyle="1" w:styleId="Underline">
    <w:name w:val="Underline"/>
    <w:basedOn w:val="DefaultParagraphFont"/>
    <w:qFormat/>
    <w:rsid w:val="00A86AEC"/>
    <w:rPr>
      <w:u w:val="single"/>
    </w:rPr>
  </w:style>
  <w:style w:type="paragraph" w:styleId="BalloonText">
    <w:name w:val="Balloon Text"/>
    <w:basedOn w:val="Normal"/>
    <w:link w:val="BalloonTextChar"/>
    <w:rsid w:val="00A86AEC"/>
    <w:rPr>
      <w:rFonts w:ascii="Tahoma" w:hAnsi="Tahoma" w:cs="Tahoma"/>
      <w:sz w:val="16"/>
      <w:szCs w:val="16"/>
    </w:rPr>
  </w:style>
  <w:style w:type="character" w:customStyle="1" w:styleId="BalloonTextChar">
    <w:name w:val="Balloon Text Char"/>
    <w:basedOn w:val="DefaultParagraphFont"/>
    <w:link w:val="BalloonText"/>
    <w:rsid w:val="00A86A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A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A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AEC"/>
    <w:rPr>
      <w:b/>
      <w:color w:val="660033"/>
      <w:spacing w:val="0"/>
    </w:rPr>
  </w:style>
  <w:style w:type="paragraph" w:customStyle="1" w:styleId="Nameditemlist">
    <w:name w:val="Named item list"/>
    <w:basedOn w:val="BodyText"/>
    <w:qFormat/>
    <w:rsid w:val="00A86A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980</Words>
  <Characters>6339</Characters>
  <Application>Microsoft Office Word</Application>
  <DocSecurity>0</DocSecurity>
  <Lines>219</Lines>
  <Paragraphs>121</Paragraphs>
  <ScaleCrop>false</ScaleCrop>
  <Company>Author-it Software Corporation Ltd.</Company>
  <LinksUpToDate>false</LinksUpToDate>
  <CharactersWithSpaces>7241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DEFEO216A Operate a small quantity explosive ordnance facility</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2013-01-25T15:26:00Z</dcterms:created>
  <dcterms:modified xsi:type="dcterms:W3CDTF">2013-01-25T15:26:00Z</dcterms:modified>
</cp:coreProperties>
</file>