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26F" w:rsidP="00A6126F">
      <w:pPr>
        <w:pStyle w:val="Title"/>
      </w:pPr>
      <w:r>
        <w:fldChar w:fldCharType="begin"/>
      </w:r>
      <w:r>
        <w:instrText xml:space="preserve"> TITLE   \* MERGEFORMAT </w:instrText>
      </w:r>
      <w:r>
        <w:fldChar w:fldCharType="separate"/>
      </w:r>
      <w:r>
        <w:t>DEFEO101D Work safely with explosive ordnance</w:t>
      </w:r>
      <w:r>
        <w:fldChar w:fldCharType="end"/>
      </w:r>
    </w:p>
    <w:p w:rsidR="00A6126F" w:rsidP="00A6126F">
      <w:pPr>
        <w:pStyle w:val="Version"/>
        <w:sectPr w:rsidSect="00A06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6EC4" w:rsidP="00A06EC4">
      <w:pPr>
        <w:pStyle w:val="SuperHeading"/>
      </w:pPr>
      <w:r w:rsidRPr="00A06EC4">
        <w:t>DEFEO101D Work safely with explosive ordnance</w:t>
      </w:r>
    </w:p>
    <w:p w:rsidR="00000000" w:rsidRPr="00A06EC4" w:rsidP="00A06EC4">
      <w:pPr>
        <w:pStyle w:val="Heading1"/>
      </w:pPr>
      <w:bookmarkStart w:id="1" w:name="O_517713"/>
      <w:bookmarkEnd w:id="1"/>
      <w:r w:rsidRPr="00A06EC4">
        <w:t>Modification History</w:t>
      </w:r>
    </w:p>
    <w:tbl>
      <w:tblPr>
        <w:tblW w:w="0" w:type="auto"/>
        <w:tblLayout w:type="fixed"/>
        <w:tblCellMar>
          <w:left w:w="62" w:type="dxa"/>
          <w:right w:w="62" w:type="dxa"/>
        </w:tblCellMar>
        <w:tblLook w:val="0000"/>
      </w:tblPr>
      <w:tblGrid>
        <w:gridCol w:w="1134"/>
        <w:gridCol w:w="1701"/>
        <w:gridCol w:w="4536"/>
      </w:tblGrid>
      <w:tr w:rsidTr="00A612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4" w:rsidP="00A06EC4">
            <w:pPr>
              <w:pStyle w:val="BodyText"/>
            </w:pPr>
            <w:r w:rsidRPr="00A06EC4">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4" w:rsidP="00A06EC4">
            <w:pPr>
              <w:pStyle w:val="BodyText"/>
            </w:pPr>
            <w:r w:rsidRPr="00A06EC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4">
            <w:pPr>
              <w:pStyle w:val="BodyText"/>
              <w:rPr>
                <w:lang w:val="en-NZ"/>
              </w:rPr>
            </w:pPr>
            <w:r w:rsidRPr="00A06EC4">
              <w:rPr>
                <w:rStyle w:val="SpecialBold"/>
              </w:rPr>
              <w:t xml:space="preserve"> Comments</w:t>
            </w:r>
          </w:p>
        </w:tc>
      </w:tr>
      <w:tr w:rsidTr="00A612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4">
            <w:pPr>
              <w:pStyle w:val="BodyText"/>
              <w:rPr>
                <w:lang w:val="en-NZ"/>
              </w:rPr>
            </w:pPr>
            <w:r w:rsidRPr="00A06EC4">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4">
            <w:pPr>
              <w:pStyle w:val="BodyText"/>
              <w:rPr>
                <w:lang w:val="en-NZ"/>
              </w:rPr>
            </w:pPr>
            <w:r w:rsidRPr="00A06EC4">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4">
            <w:pPr>
              <w:pStyle w:val="BodyText"/>
              <w:rPr>
                <w:lang w:val="en-NZ"/>
              </w:rPr>
            </w:pPr>
            <w:r w:rsidRPr="00A06EC4">
              <w:t>Layout adjusted.</w:t>
            </w:r>
          </w:p>
        </w:tc>
      </w:tr>
      <w:tr w:rsidTr="00A612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4">
            <w:pPr>
              <w:pStyle w:val="BodyText"/>
              <w:rPr>
                <w:lang w:val="en-NZ"/>
              </w:rPr>
            </w:pPr>
            <w:r w:rsidRPr="00A06EC4">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EC4">
            <w:pPr>
              <w:pStyle w:val="BodyText"/>
              <w:rPr>
                <w:lang w:val="en-NZ"/>
              </w:rPr>
            </w:pPr>
            <w:r w:rsidRPr="00A06EC4">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EC4" w:rsidP="00A06EC4">
            <w:pPr>
              <w:pStyle w:val="BodyText"/>
            </w:pPr>
            <w:r w:rsidRPr="00A06EC4">
              <w:t>First release.</w:t>
            </w:r>
          </w:p>
        </w:tc>
      </w:tr>
    </w:tbl>
    <w:p w:rsidR="00000000" w:rsidRPr="00A06EC4" w:rsidP="00A06EC4">
      <w:pPr>
        <w:pStyle w:val="BodyText"/>
      </w:pPr>
    </w:p>
    <w:p w:rsidR="00000000" w:rsidRPr="00A06EC4" w:rsidP="00A06EC4">
      <w:pPr>
        <w:pStyle w:val="AllowPageBreak"/>
      </w:pPr>
    </w:p>
    <w:p w:rsidR="00000000" w:rsidRPr="00A06EC4" w:rsidP="00A06EC4">
      <w:pPr>
        <w:pStyle w:val="Heading1"/>
      </w:pPr>
      <w:bookmarkStart w:id="2" w:name="O_517712"/>
      <w:bookmarkEnd w:id="2"/>
      <w:r w:rsidRPr="00A06EC4">
        <w:t>Unit Descriptor</w:t>
      </w:r>
    </w:p>
    <w:p w:rsidR="00000000" w:rsidRPr="00A06EC4" w:rsidP="00A06EC4">
      <w:pPr>
        <w:pStyle w:val="BodyText"/>
      </w:pPr>
      <w:r w:rsidRPr="00A06EC4">
        <w:t>This unit covers the competency required to achieve a safe work environment when working with explosive ord</w:t>
      </w:r>
      <w:r w:rsidRPr="00A06EC4">
        <w:t>nance.</w:t>
      </w:r>
    </w:p>
    <w:p w:rsidR="00000000" w:rsidRPr="00A06EC4" w:rsidP="00A06EC4">
      <w:pPr>
        <w:pStyle w:val="AllowPageBreak"/>
      </w:pPr>
    </w:p>
    <w:p w:rsidR="00000000" w:rsidRPr="00A06EC4" w:rsidP="00A06EC4">
      <w:pPr>
        <w:pStyle w:val="Heading1"/>
      </w:pPr>
      <w:bookmarkStart w:id="3" w:name="O_517711"/>
      <w:bookmarkEnd w:id="3"/>
      <w:r w:rsidRPr="00A06EC4">
        <w:t>Application of the Unit</w:t>
      </w:r>
    </w:p>
    <w:p w:rsidR="00000000" w:rsidRPr="00A06EC4" w:rsidP="00A06EC4">
      <w:pPr>
        <w:pStyle w:val="BodyText"/>
      </w:pPr>
      <w:r w:rsidRPr="00A06EC4">
        <w:t>This competency normally applies in any installation or organisation involved in the storage, distribution, maintenance and use of explosive ordnance; this includes research and development establishments, an</w:t>
      </w:r>
      <w:r w:rsidRPr="00A06EC4">
        <w:t>d proof and experimental establishments.</w:t>
      </w:r>
    </w:p>
    <w:p w:rsidR="00000000" w:rsidRPr="00A06EC4" w:rsidP="00A06EC4">
      <w:pPr>
        <w:pStyle w:val="BodyText"/>
      </w:pPr>
      <w:r w:rsidRPr="00A06EC4">
        <w:rPr>
          <w:rStyle w:val="BoldandItalics"/>
        </w:rPr>
        <w:t>Explosive ordnance</w:t>
      </w:r>
      <w:r w:rsidRPr="00A06EC4">
        <w:t xml:space="preserve"> being all munitions containing explosives, nuclear fission or fusion materials, and biological and chemical agents.</w:t>
      </w:r>
    </w:p>
    <w:p w:rsidR="00000000" w:rsidRPr="00A06EC4" w:rsidP="00A06EC4">
      <w:pPr>
        <w:pStyle w:val="AllowPageBreak"/>
      </w:pPr>
    </w:p>
    <w:p w:rsidR="00000000" w:rsidRPr="00A06EC4" w:rsidP="00A06EC4">
      <w:pPr>
        <w:pStyle w:val="Heading1"/>
      </w:pPr>
      <w:bookmarkStart w:id="4" w:name="O_517710"/>
      <w:bookmarkEnd w:id="4"/>
      <w:r w:rsidRPr="00A06EC4">
        <w:t>Licensing/Regulatory Information</w:t>
      </w:r>
    </w:p>
    <w:p w:rsidR="00000000" w:rsidRPr="00A06EC4" w:rsidP="00A06EC4">
      <w:pPr>
        <w:pStyle w:val="BodyText"/>
      </w:pPr>
      <w:r w:rsidRPr="00A06EC4">
        <w:t>Not applicable.</w:t>
      </w:r>
    </w:p>
    <w:p w:rsidR="00000000" w:rsidRPr="00A06EC4" w:rsidP="00A06EC4">
      <w:pPr>
        <w:pStyle w:val="AllowPageBreak"/>
      </w:pPr>
    </w:p>
    <w:p w:rsidR="00000000" w:rsidRPr="00A06EC4" w:rsidP="00A06EC4">
      <w:pPr>
        <w:pStyle w:val="Heading1"/>
      </w:pPr>
      <w:bookmarkStart w:id="5" w:name="O_517709"/>
      <w:bookmarkEnd w:id="5"/>
      <w:r w:rsidRPr="00A06EC4">
        <w:t>Pre-Requisites</w:t>
      </w:r>
    </w:p>
    <w:p w:rsidR="00000000" w:rsidRPr="00A06EC4" w:rsidP="00A06EC4">
      <w:pPr>
        <w:pStyle w:val="BodyText"/>
      </w:pPr>
      <w:r w:rsidRPr="00A06EC4">
        <w:t>Not applicable.</w:t>
      </w:r>
    </w:p>
    <w:p w:rsidR="00000000" w:rsidRPr="00A06EC4" w:rsidP="00A06EC4">
      <w:pPr>
        <w:pStyle w:val="AllowPageBreak"/>
      </w:pPr>
    </w:p>
    <w:p w:rsidR="00000000" w:rsidRPr="00A06EC4" w:rsidP="00A06EC4">
      <w:pPr>
        <w:pStyle w:val="Heading1"/>
      </w:pPr>
      <w:bookmarkStart w:id="6" w:name="O_517708"/>
      <w:bookmarkEnd w:id="6"/>
      <w:r w:rsidRPr="00A06EC4">
        <w:t>Employability Skills Information</w:t>
      </w:r>
    </w:p>
    <w:p w:rsidR="00000000" w:rsidRPr="00A06EC4" w:rsidP="00A06EC4">
      <w:pPr>
        <w:pStyle w:val="BodyText"/>
      </w:pPr>
      <w:r w:rsidRPr="00A06EC4">
        <w:t>This unit contains employability skills.</w:t>
      </w:r>
    </w:p>
    <w:p w:rsidR="00000000" w:rsidRPr="00A06EC4" w:rsidP="00A06EC4">
      <w:pPr>
        <w:pStyle w:val="AllowPageBreak"/>
      </w:pPr>
    </w:p>
    <w:p w:rsidR="00000000" w:rsidRPr="00A06EC4" w:rsidP="00A06EC4">
      <w:pPr>
        <w:pStyle w:val="Heading1"/>
      </w:pPr>
      <w:bookmarkStart w:id="7" w:name="O_517707"/>
      <w:bookmarkEnd w:id="7"/>
      <w:r w:rsidRPr="00A06EC4">
        <w:t>Elements and Performance Criteria Pre-Content</w:t>
      </w:r>
    </w:p>
    <w:tbl>
      <w:tblPr>
        <w:tblW w:w="0" w:type="auto"/>
        <w:tblLayout w:type="fixed"/>
        <w:tblCellMar>
          <w:left w:w="62" w:type="dxa"/>
          <w:right w:w="62" w:type="dxa"/>
        </w:tblCellMar>
        <w:tblLook w:val="0000"/>
      </w:tblPr>
      <w:tblGrid>
        <w:gridCol w:w="3060"/>
        <w:gridCol w:w="5580"/>
      </w:tblGrid>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06EC4">
            <w:pPr>
              <w:pStyle w:val="BodyText"/>
              <w:rPr>
                <w:lang w:val="en-NZ"/>
              </w:rPr>
            </w:pPr>
            <w:r w:rsidRPr="00A06EC4">
              <w:t>Elements describe the essential outcomes of a Unit of Competenc</w:t>
            </w:r>
            <w:r w:rsidRPr="00A06EC4">
              <w: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BodyText"/>
            </w:pPr>
            <w:r w:rsidRPr="00A06EC4">
              <w:t xml:space="preserve">Performance Criteria describe the required performance needed to demonstrate achievement of the element. Where </w:t>
            </w:r>
            <w:r w:rsidRPr="00A06EC4">
              <w:rPr>
                <w:rStyle w:val="BoldandItalics"/>
              </w:rPr>
              <w:t>bold italicised</w:t>
            </w:r>
            <w:r w:rsidRPr="00A06EC4">
              <w:t xml:space="preserve"> text is used, further information is detailed in the Range Statement. Assessment of performance is to be consistent with the E</w:t>
            </w:r>
            <w:r w:rsidRPr="00A06EC4">
              <w:t>vidence Guide.</w:t>
            </w:r>
          </w:p>
        </w:tc>
      </w:tr>
    </w:tbl>
    <w:p w:rsidR="00000000" w:rsidRPr="00A06EC4" w:rsidP="00A06EC4">
      <w:pPr>
        <w:pStyle w:val="BodyText"/>
      </w:pPr>
    </w:p>
    <w:p w:rsidR="00000000" w:rsidRPr="00A06EC4" w:rsidP="00A06EC4">
      <w:pPr>
        <w:pStyle w:val="AllowPageBreak"/>
      </w:pPr>
    </w:p>
    <w:p w:rsidR="00000000" w:rsidRPr="00A06EC4" w:rsidP="00A06EC4">
      <w:pPr>
        <w:pStyle w:val="Heading1"/>
      </w:pPr>
      <w:bookmarkStart w:id="8" w:name="O_517706"/>
      <w:bookmarkEnd w:id="8"/>
      <w:r w:rsidRPr="00A06EC4">
        <w:t>Elements and Performance Criteria</w:t>
      </w:r>
    </w:p>
    <w:tbl>
      <w:tblPr>
        <w:tblW w:w="0" w:type="auto"/>
        <w:tblLayout w:type="fixed"/>
        <w:tblCellMar>
          <w:left w:w="62" w:type="dxa"/>
          <w:right w:w="62" w:type="dxa"/>
        </w:tblCellMar>
        <w:tblLook w:val="0000"/>
      </w:tblPr>
      <w:tblGrid>
        <w:gridCol w:w="3060"/>
        <w:gridCol w:w="5580"/>
      </w:tblGrid>
      <w:tr w:rsidTr="00A6126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06EC4" w:rsidP="00A06EC4">
            <w:pPr>
              <w:pStyle w:val="BodyText"/>
            </w:pPr>
            <w:r w:rsidRPr="00A06EC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SpecialBold"/>
              </w:rPr>
              <w:t>PERFORMANCE CRITERIA</w:t>
            </w:r>
          </w:p>
        </w:tc>
      </w:tr>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06EC4">
            <w:pPr>
              <w:pStyle w:val="List"/>
              <w:rPr>
                <w:lang w:val="en-NZ"/>
              </w:rPr>
            </w:pPr>
            <w:r w:rsidRPr="00A06EC4">
              <w:rPr>
                <w:rStyle w:val="SpecialBold"/>
              </w:rPr>
              <w:t>1.</w:t>
            </w:r>
            <w:r w:rsidRPr="00A06EC4">
              <w:rPr>
                <w:rStyle w:val="SpecialBold"/>
              </w:rPr>
              <w:tab/>
              <w:t>Access and apply safety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List"/>
            </w:pPr>
            <w:r w:rsidRPr="00A06EC4">
              <w:t>1.1</w:t>
            </w:r>
            <w:r w:rsidRPr="00A06EC4">
              <w:tab/>
            </w:r>
            <w:r w:rsidRPr="00A06EC4">
              <w:rPr>
                <w:rStyle w:val="BoldandItalics"/>
              </w:rPr>
              <w:t>Safety procedures and instructions</w:t>
            </w:r>
            <w:r w:rsidRPr="00A06EC4">
              <w:t xml:space="preserve"> are accessed and clarified</w:t>
            </w:r>
          </w:p>
          <w:p w:rsidR="00000000" w:rsidRPr="00A06EC4" w:rsidP="00A06EC4">
            <w:pPr>
              <w:pStyle w:val="List"/>
            </w:pPr>
            <w:r w:rsidRPr="00A06EC4">
              <w:t>1.2</w:t>
            </w:r>
            <w:r w:rsidRPr="00A06EC4">
              <w:tab/>
              <w:t xml:space="preserve">All work is conducted within the requirements of </w:t>
            </w:r>
            <w:r w:rsidRPr="00A06EC4">
              <w:rPr>
                <w:rStyle w:val="BoldandItalics"/>
              </w:rPr>
              <w:t>organisational</w:t>
            </w:r>
            <w:r w:rsidRPr="00A06EC4">
              <w:t xml:space="preserve"> permit-to-work and/or tag out procedures</w:t>
            </w:r>
          </w:p>
          <w:p w:rsidR="00000000" w:rsidRPr="00A06EC4" w:rsidP="00A06EC4">
            <w:pPr>
              <w:pStyle w:val="List"/>
            </w:pPr>
            <w:r w:rsidRPr="00A06EC4">
              <w:t>1.3</w:t>
            </w:r>
            <w:r w:rsidRPr="00A06EC4">
              <w:tab/>
              <w:t>Breaches in site safety are identified and acted on or reported in accordance with organisational reporting procedures</w:t>
            </w:r>
          </w:p>
          <w:p w:rsidR="00000000" w:rsidRPr="00A06EC4" w:rsidP="00A06EC4">
            <w:pPr>
              <w:pStyle w:val="List"/>
            </w:pPr>
            <w:r w:rsidRPr="00A06EC4">
              <w:t>1.4</w:t>
            </w:r>
            <w:r w:rsidRPr="00A06EC4">
              <w:tab/>
              <w:t>Load handling and shifting procedures are selected in accordance with ide</w:t>
            </w:r>
            <w:r w:rsidRPr="00A06EC4">
              <w:t>ntified requirements for particular goods</w:t>
            </w:r>
          </w:p>
          <w:p w:rsidR="00000000" w:rsidRPr="00A06EC4" w:rsidP="00A06EC4">
            <w:pPr>
              <w:pStyle w:val="List"/>
            </w:pPr>
            <w:r w:rsidRPr="00A06EC4">
              <w:t>1.5</w:t>
            </w:r>
            <w:r w:rsidRPr="00A06EC4">
              <w:tab/>
              <w:t>Handling equipment is checked for conformity with workplace requirements and manufacturer's guidelines</w:t>
            </w:r>
          </w:p>
          <w:p w:rsidR="00000000" w:rsidP="00A06EC4">
            <w:pPr>
              <w:pStyle w:val="List"/>
              <w:rPr>
                <w:lang w:val="en-NZ"/>
              </w:rPr>
            </w:pPr>
            <w:r w:rsidRPr="00A06EC4">
              <w:t>1.6</w:t>
            </w:r>
            <w:r w:rsidRPr="00A06EC4">
              <w:tab/>
              <w:t>Where relevant, suitable signage is checked for compliance with workplace procedures</w:t>
            </w:r>
          </w:p>
        </w:tc>
      </w:tr>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06EC4">
            <w:pPr>
              <w:pStyle w:val="List"/>
              <w:rPr>
                <w:lang w:val="en-NZ"/>
              </w:rPr>
            </w:pPr>
            <w:r w:rsidRPr="00A06EC4">
              <w:rPr>
                <w:rStyle w:val="SpecialBold"/>
              </w:rPr>
              <w:t>2.</w:t>
            </w:r>
            <w:r w:rsidRPr="00A06EC4">
              <w:rPr>
                <w:rStyle w:val="SpecialBold"/>
              </w:rPr>
              <w:tab/>
              <w:t>Apply personal</w:t>
            </w:r>
            <w:r w:rsidRPr="00A06EC4">
              <w:rPr>
                <w:rStyle w:val="SpecialBold"/>
              </w:rPr>
              <w:t xml:space="preserve"> safety measures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List"/>
            </w:pPr>
            <w:r w:rsidRPr="00A06EC4">
              <w:t>2.1</w:t>
            </w:r>
            <w:r w:rsidRPr="00A06EC4">
              <w:tab/>
            </w:r>
            <w:r w:rsidRPr="00A06EC4">
              <w:rPr>
                <w:rStyle w:val="BoldandItalics"/>
              </w:rPr>
              <w:t>Personal protective measures</w:t>
            </w:r>
            <w:r w:rsidRPr="00A06EC4">
              <w:t xml:space="preserve"> are followed in accordance with organisational policy and procedures</w:t>
            </w:r>
          </w:p>
          <w:p w:rsidR="00000000" w:rsidRPr="00A06EC4" w:rsidP="00A06EC4">
            <w:pPr>
              <w:pStyle w:val="List"/>
            </w:pPr>
            <w:r w:rsidRPr="00A06EC4">
              <w:t>2.2</w:t>
            </w:r>
            <w:r w:rsidRPr="00A06EC4">
              <w:tab/>
            </w:r>
            <w:r w:rsidRPr="00A06EC4">
              <w:t>Safety of immediate working area and equipment is established and maintained in accordance with organisational policy, procedures and directives</w:t>
            </w:r>
          </w:p>
          <w:p w:rsidR="00000000" w:rsidP="00A06EC4">
            <w:pPr>
              <w:pStyle w:val="List"/>
              <w:rPr>
                <w:lang w:val="en-NZ"/>
              </w:rPr>
            </w:pPr>
            <w:r w:rsidRPr="00A06EC4">
              <w:t>2.3</w:t>
            </w:r>
            <w:r w:rsidRPr="00A06EC4">
              <w:tab/>
              <w:t xml:space="preserve">Relevant authorisation is obtained before specialised and hazardous work is carried out in accordance with </w:t>
            </w:r>
            <w:r w:rsidRPr="00A06EC4">
              <w:t>organisational procedures and directives</w:t>
            </w:r>
          </w:p>
        </w:tc>
      </w:tr>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06EC4">
            <w:pPr>
              <w:pStyle w:val="List"/>
              <w:rPr>
                <w:lang w:val="en-NZ"/>
              </w:rPr>
            </w:pPr>
            <w:r w:rsidRPr="00A06EC4">
              <w:rPr>
                <w:rStyle w:val="SpecialBold"/>
              </w:rPr>
              <w:t>3.</w:t>
            </w:r>
            <w:r w:rsidRPr="00A06EC4">
              <w:rPr>
                <w:rStyle w:val="SpecialBold"/>
              </w:rPr>
              <w:tab/>
              <w:t>Apply dangerous goods and hazardous substances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List"/>
            </w:pPr>
            <w:r w:rsidRPr="00A06EC4">
              <w:t>3.1</w:t>
            </w:r>
            <w:r w:rsidRPr="00A06EC4">
              <w:tab/>
              <w:t xml:space="preserve">Individual responsibilities regarding </w:t>
            </w:r>
            <w:r w:rsidRPr="00A06EC4">
              <w:rPr>
                <w:rStyle w:val="BoldandItalics"/>
              </w:rPr>
              <w:t>dangerous goods and hazardous substances</w:t>
            </w:r>
            <w:r w:rsidRPr="00A06EC4">
              <w:t xml:space="preserve"> are recognised and applied</w:t>
            </w:r>
          </w:p>
          <w:p w:rsidR="00000000" w:rsidRPr="00A06EC4" w:rsidP="00A06EC4">
            <w:pPr>
              <w:pStyle w:val="List"/>
            </w:pPr>
            <w:r w:rsidRPr="00A06EC4">
              <w:t>3.2</w:t>
            </w:r>
            <w:r w:rsidRPr="00A06EC4">
              <w:tab/>
            </w:r>
            <w:r w:rsidRPr="00A06EC4">
              <w:t>Legislative requirements for hazardous substances and/or dangerous goods are understood and are used to plan work activities</w:t>
            </w:r>
          </w:p>
          <w:p w:rsidR="00000000" w:rsidRPr="00A06EC4" w:rsidP="00A06EC4">
            <w:pPr>
              <w:pStyle w:val="List"/>
            </w:pPr>
            <w:r w:rsidRPr="00A06EC4">
              <w:t>3.3</w:t>
            </w:r>
            <w:r w:rsidRPr="00A06EC4">
              <w:tab/>
              <w:t>Dangerous goods and hazardous substances labels and characteristics are identified and recognised, and relevant action/criteria</w:t>
            </w:r>
            <w:r w:rsidRPr="00A06EC4">
              <w:t xml:space="preserve"> is applied</w:t>
            </w:r>
          </w:p>
          <w:p w:rsidR="00000000" w:rsidRPr="00A06EC4" w:rsidP="00A06EC4">
            <w:pPr>
              <w:pStyle w:val="List"/>
            </w:pPr>
            <w:r w:rsidRPr="00A06EC4">
              <w:t>3.4</w:t>
            </w:r>
            <w:r w:rsidRPr="00A06EC4">
              <w:tab/>
              <w:t>Confirmation is sought from relevant personnel where dangerous goods or hazardous materials do not appear to be appropriately marked</w:t>
            </w:r>
          </w:p>
          <w:p w:rsidR="00000000" w:rsidRPr="00A06EC4" w:rsidP="00A06EC4">
            <w:pPr>
              <w:pStyle w:val="List"/>
            </w:pPr>
            <w:r w:rsidRPr="00A06EC4">
              <w:t>3.5</w:t>
            </w:r>
            <w:r w:rsidRPr="00A06EC4">
              <w:tab/>
              <w:t>Dangerous goods and hazardous substances are stored in accordance with the relevant compatibility, sepa</w:t>
            </w:r>
            <w:r w:rsidRPr="00A06EC4">
              <w:t>ration constraints and security requirements</w:t>
            </w:r>
          </w:p>
          <w:p w:rsidR="00000000" w:rsidP="00A06EC4">
            <w:pPr>
              <w:pStyle w:val="List"/>
              <w:rPr>
                <w:lang w:val="en-NZ"/>
              </w:rPr>
            </w:pPr>
            <w:r w:rsidRPr="00A06EC4">
              <w:t>3.6</w:t>
            </w:r>
            <w:r w:rsidRPr="00A06EC4">
              <w:tab/>
              <w:t>Dangerous goods and hazardous substances are handled and moved in accordance with legislative requirements and organisational procedures</w:t>
            </w:r>
          </w:p>
        </w:tc>
      </w:tr>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06EC4">
            <w:pPr>
              <w:pStyle w:val="List"/>
              <w:rPr>
                <w:lang w:val="en-NZ"/>
              </w:rPr>
            </w:pPr>
            <w:r w:rsidRPr="00A06EC4">
              <w:rPr>
                <w:rStyle w:val="SpecialBold"/>
              </w:rPr>
              <w:t>4.</w:t>
            </w:r>
            <w:r w:rsidRPr="00A06EC4">
              <w:rPr>
                <w:rStyle w:val="SpecialBold"/>
              </w:rPr>
              <w:tab/>
              <w:t>Apply net explosive quantity and compatibility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List"/>
            </w:pPr>
            <w:r w:rsidRPr="00A06EC4">
              <w:t>4.1</w:t>
            </w:r>
            <w:r w:rsidRPr="00A06EC4">
              <w:tab/>
              <w:t>Documentation a</w:t>
            </w:r>
            <w:r w:rsidRPr="00A06EC4">
              <w:t>nd licensing limitations are identified and/or acquired in accordance with organisational policy and procedures</w:t>
            </w:r>
          </w:p>
          <w:p w:rsidR="00000000" w:rsidRPr="00A06EC4" w:rsidP="00A06EC4">
            <w:pPr>
              <w:pStyle w:val="List"/>
            </w:pPr>
            <w:r w:rsidRPr="00A06EC4">
              <w:t>4.2</w:t>
            </w:r>
            <w:r w:rsidRPr="00A06EC4">
              <w:tab/>
            </w:r>
            <w:r w:rsidRPr="00A06EC4">
              <w:rPr>
                <w:rStyle w:val="BoldandItalics"/>
              </w:rPr>
              <w:t>Net explosive quantity</w:t>
            </w:r>
            <w:r w:rsidRPr="00A06EC4">
              <w:t xml:space="preserve"> is applied in accordance with statutory requirements and organisational policy and procedures</w:t>
            </w:r>
          </w:p>
          <w:p w:rsidR="00000000" w:rsidP="00A06EC4">
            <w:pPr>
              <w:pStyle w:val="List"/>
              <w:rPr>
                <w:lang w:val="en-NZ"/>
              </w:rPr>
            </w:pPr>
            <w:r w:rsidRPr="00A06EC4">
              <w:t>4.3</w:t>
            </w:r>
            <w:r w:rsidRPr="00A06EC4">
              <w:tab/>
            </w:r>
            <w:r w:rsidRPr="00A06EC4">
              <w:rPr>
                <w:rStyle w:val="BoldandItalics"/>
              </w:rPr>
              <w:t>Compatibility</w:t>
            </w:r>
            <w:r w:rsidRPr="00A06EC4">
              <w:t xml:space="preserve"> is ap</w:t>
            </w:r>
            <w:r w:rsidRPr="00A06EC4">
              <w:t>plied in accordance with statutory requirements and organisational policy and procedures</w:t>
            </w:r>
          </w:p>
        </w:tc>
      </w:tr>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06EC4">
            <w:pPr>
              <w:pStyle w:val="List"/>
              <w:rPr>
                <w:lang w:val="en-NZ"/>
              </w:rPr>
            </w:pPr>
            <w:r w:rsidRPr="00A06EC4">
              <w:rPr>
                <w:rStyle w:val="SpecialBold"/>
              </w:rPr>
              <w:t>5.</w:t>
            </w:r>
            <w:r w:rsidRPr="00A06EC4">
              <w:rPr>
                <w:rStyle w:val="SpecialBold"/>
              </w:rPr>
              <w:tab/>
              <w:t>Identify and report incidents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List"/>
            </w:pPr>
            <w:r w:rsidRPr="00A06EC4">
              <w:t>5.1</w:t>
            </w:r>
            <w:r w:rsidRPr="00A06EC4">
              <w:tab/>
              <w:t xml:space="preserve">Incidents and injuries are identified, recorded and </w:t>
            </w:r>
            <w:r w:rsidRPr="00A06EC4">
              <w:rPr>
                <w:rStyle w:val="BoldandItalics"/>
              </w:rPr>
              <w:t>reported</w:t>
            </w:r>
            <w:r w:rsidRPr="00A06EC4">
              <w:t xml:space="preserve"> in accordance with organisational procedures</w:t>
            </w:r>
          </w:p>
          <w:p w:rsidR="00000000" w:rsidRPr="00A06EC4" w:rsidP="00A06EC4">
            <w:pPr>
              <w:pStyle w:val="List"/>
            </w:pPr>
            <w:r w:rsidRPr="00A06EC4">
              <w:t>5.2</w:t>
            </w:r>
            <w:r w:rsidRPr="00A06EC4">
              <w:tab/>
              <w:t>Participation in in</w:t>
            </w:r>
            <w:r w:rsidRPr="00A06EC4">
              <w:t>cident investigations is conducted in accordance with the responsibilities and protection under legislation</w:t>
            </w:r>
          </w:p>
        </w:tc>
      </w:tr>
    </w:tbl>
    <w:p w:rsidR="00000000" w:rsidRPr="00A06EC4" w:rsidP="00A06EC4">
      <w:pPr>
        <w:pStyle w:val="BodyText"/>
      </w:pPr>
    </w:p>
    <w:p w:rsidR="00000000" w:rsidRPr="00A06EC4" w:rsidP="00A06EC4">
      <w:pPr>
        <w:pStyle w:val="AllowPageBreak"/>
      </w:pPr>
    </w:p>
    <w:p w:rsidR="00000000" w:rsidRPr="00A06EC4" w:rsidP="00A06EC4">
      <w:pPr>
        <w:pStyle w:val="Heading1"/>
      </w:pPr>
      <w:bookmarkStart w:id="9" w:name="O_517705"/>
      <w:bookmarkEnd w:id="9"/>
      <w:r w:rsidRPr="00A06EC4">
        <w:t>Required Skills and Knowledge</w:t>
      </w:r>
    </w:p>
    <w:tbl>
      <w:tblPr>
        <w:tblW w:w="0" w:type="auto"/>
        <w:tblLayout w:type="fixed"/>
        <w:tblCellMar>
          <w:left w:w="62" w:type="dxa"/>
          <w:right w:w="62" w:type="dxa"/>
        </w:tblCellMar>
        <w:tblLook w:val="0000"/>
      </w:tblPr>
      <w:tblGrid>
        <w:gridCol w:w="8640"/>
      </w:tblGrid>
      <w:tr w:rsidTr="00A6126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t>This describes the essential skills and knowledge and their level, required for this unit.</w:t>
            </w:r>
          </w:p>
        </w:tc>
      </w:tr>
      <w:tr w:rsidTr="00A6126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SpecialBold"/>
              </w:rPr>
              <w:t>Required Skills</w:t>
            </w:r>
          </w:p>
        </w:tc>
      </w:tr>
      <w:tr w:rsidTr="00A6126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06EC4" w:rsidP="00A06EC4">
            <w:pPr>
              <w:pStyle w:val="ListBullet"/>
            </w:pPr>
            <w:r w:rsidRPr="00A06EC4">
              <w:t>access, read, interpret and apply information on safety</w:t>
            </w:r>
          </w:p>
          <w:p w:rsidR="00000000" w:rsidRPr="00A06EC4" w:rsidP="00A06EC4">
            <w:pPr>
              <w:pStyle w:val="ListBullet"/>
            </w:pPr>
            <w:r w:rsidRPr="00A06EC4">
              <w:t>apply area safety procedures</w:t>
            </w:r>
          </w:p>
          <w:p w:rsidR="00000000" w:rsidRPr="00A06EC4" w:rsidP="00A06EC4">
            <w:pPr>
              <w:pStyle w:val="ListBullet"/>
            </w:pPr>
            <w:r w:rsidRPr="00A06EC4">
              <w:t>apply compatibility</w:t>
            </w:r>
          </w:p>
          <w:p w:rsidR="00000000" w:rsidRPr="00A06EC4" w:rsidP="00A06EC4">
            <w:pPr>
              <w:pStyle w:val="ListBullet"/>
            </w:pPr>
            <w:r w:rsidRPr="00A06EC4">
              <w:t>apply net explosive quantity</w:t>
            </w:r>
          </w:p>
          <w:p w:rsidR="00000000" w:rsidRPr="00A06EC4" w:rsidP="00A06EC4">
            <w:pPr>
              <w:pStyle w:val="ListBullet"/>
            </w:pPr>
            <w:r w:rsidRPr="00A06EC4">
              <w:t>apply safe manual handling procedures</w:t>
            </w:r>
          </w:p>
          <w:p w:rsidR="00000000" w:rsidRPr="00A06EC4" w:rsidP="00A06EC4">
            <w:pPr>
              <w:pStyle w:val="ListBullet"/>
            </w:pPr>
            <w:r w:rsidRPr="00A06EC4">
              <w:t>comply with hazardous materials requirements</w:t>
            </w:r>
          </w:p>
          <w:p w:rsidR="00000000" w:rsidRPr="00A06EC4" w:rsidP="00A06EC4">
            <w:pPr>
              <w:pStyle w:val="ListBullet"/>
            </w:pPr>
            <w:r w:rsidRPr="00A06EC4">
              <w:t>encourage other team members</w:t>
            </w:r>
          </w:p>
          <w:p w:rsidR="00000000" w:rsidRPr="00A06EC4" w:rsidP="00A06EC4">
            <w:pPr>
              <w:pStyle w:val="ListBullet"/>
            </w:pPr>
            <w:r w:rsidRPr="00A06EC4">
              <w:t>follow instructions/directives and report information</w:t>
            </w:r>
          </w:p>
          <w:p w:rsidR="00000000" w:rsidRPr="00A06EC4" w:rsidP="00A06EC4">
            <w:pPr>
              <w:pStyle w:val="ListBullet"/>
            </w:pPr>
            <w:r w:rsidRPr="00A06EC4">
              <w:t>identify and report hazards and incidents</w:t>
            </w:r>
          </w:p>
          <w:p w:rsidR="00000000" w:rsidRPr="00A06EC4" w:rsidP="00A06EC4">
            <w:pPr>
              <w:pStyle w:val="ListBullet"/>
            </w:pPr>
            <w:r w:rsidRPr="00A06EC4">
              <w:t>identify, select and use personal protection measures</w:t>
            </w:r>
          </w:p>
          <w:p w:rsidR="00000000" w:rsidRPr="00A06EC4" w:rsidP="00A06EC4">
            <w:pPr>
              <w:pStyle w:val="ListBullet"/>
            </w:pPr>
            <w:r w:rsidRPr="00A06EC4">
              <w:t>read to a level required to interpret job instructions, workplace forms and r</w:t>
            </w:r>
            <w:r w:rsidRPr="00A06EC4">
              <w:t>eports</w:t>
            </w:r>
          </w:p>
          <w:p w:rsidR="00000000" w:rsidRPr="00A06EC4" w:rsidP="00A06EC4">
            <w:pPr>
              <w:pStyle w:val="ListBullet"/>
            </w:pPr>
            <w:r w:rsidRPr="00A06EC4">
              <w:t>use a variety of verbal and non-verbal communication techniques</w:t>
            </w:r>
          </w:p>
          <w:p w:rsidR="00000000" w:rsidP="00A06EC4">
            <w:pPr>
              <w:pStyle w:val="ListBullet"/>
              <w:rPr>
                <w:lang w:val="en-NZ"/>
              </w:rPr>
            </w:pPr>
            <w:r w:rsidRPr="00A06EC4">
              <w:t>write at the level required to complete workplace documentation and reports</w:t>
            </w:r>
          </w:p>
        </w:tc>
      </w:tr>
      <w:tr w:rsidTr="00A6126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SpecialBold"/>
              </w:rPr>
              <w:t>Required Knowledge</w:t>
            </w:r>
          </w:p>
        </w:tc>
      </w:tr>
      <w:tr w:rsidTr="00A6126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06EC4" w:rsidP="00A06EC4">
            <w:pPr>
              <w:pStyle w:val="ListBullet"/>
            </w:pPr>
            <w:r w:rsidRPr="00A06EC4">
              <w:t>application of compatibility</w:t>
            </w:r>
          </w:p>
          <w:p w:rsidR="00000000" w:rsidRPr="00A06EC4" w:rsidP="00A06EC4">
            <w:pPr>
              <w:pStyle w:val="ListBullet"/>
            </w:pPr>
            <w:r w:rsidRPr="00A06EC4">
              <w:t>application of net explosive quantity</w:t>
            </w:r>
          </w:p>
          <w:p w:rsidR="00000000" w:rsidRPr="00A06EC4" w:rsidP="00A06EC4">
            <w:pPr>
              <w:pStyle w:val="ListBullet"/>
            </w:pPr>
            <w:r w:rsidRPr="00A06EC4">
              <w:t>composition of teams and roles and responsibilities of team members</w:t>
            </w:r>
          </w:p>
          <w:p w:rsidR="00000000" w:rsidRPr="00A06EC4" w:rsidP="00A06EC4">
            <w:pPr>
              <w:pStyle w:val="ListBullet"/>
            </w:pPr>
            <w:r w:rsidRPr="00A06EC4">
              <w:t>hazard and incident identification and reporting techniques</w:t>
            </w:r>
          </w:p>
          <w:p w:rsidR="00000000" w:rsidRPr="00A06EC4" w:rsidP="00A06EC4">
            <w:pPr>
              <w:pStyle w:val="ListBullet"/>
            </w:pPr>
            <w:r w:rsidRPr="00A06EC4">
              <w:t>hazardous materials requirements</w:t>
            </w:r>
          </w:p>
          <w:p w:rsidR="00000000" w:rsidRPr="00A06EC4" w:rsidP="00A06EC4">
            <w:pPr>
              <w:pStyle w:val="ListBullet"/>
            </w:pPr>
            <w:r w:rsidRPr="00A06EC4">
              <w:t>manual handling procedures</w:t>
            </w:r>
          </w:p>
          <w:p w:rsidR="00000000" w:rsidRPr="00A06EC4" w:rsidP="00A06EC4">
            <w:pPr>
              <w:pStyle w:val="ListBullet"/>
            </w:pPr>
            <w:r w:rsidRPr="00A06EC4">
              <w:t>organisational safety policies and structures</w:t>
            </w:r>
          </w:p>
          <w:p w:rsidR="00000000" w:rsidRPr="00A06EC4" w:rsidP="00A06EC4">
            <w:pPr>
              <w:pStyle w:val="ListBullet"/>
            </w:pPr>
            <w:r w:rsidRPr="00A06EC4">
              <w:t xml:space="preserve">organisational safety </w:t>
            </w:r>
            <w:r w:rsidRPr="00A06EC4">
              <w:t>information sources</w:t>
            </w:r>
          </w:p>
          <w:p w:rsidR="00000000" w:rsidRPr="00A06EC4" w:rsidP="00A06EC4">
            <w:pPr>
              <w:pStyle w:val="ListBullet"/>
            </w:pPr>
            <w:r w:rsidRPr="00A06EC4">
              <w:t>personal protection measures</w:t>
            </w:r>
          </w:p>
          <w:p w:rsidR="00000000" w:rsidRPr="00A06EC4" w:rsidP="00A06EC4">
            <w:pPr>
              <w:pStyle w:val="ListBullet"/>
            </w:pPr>
            <w:r w:rsidRPr="00A06EC4">
              <w:t>safety and advisory signs</w:t>
            </w:r>
          </w:p>
          <w:p w:rsidR="00000000" w:rsidRPr="00A06EC4" w:rsidP="00A06EC4">
            <w:pPr>
              <w:pStyle w:val="ListBullet"/>
            </w:pPr>
            <w:r w:rsidRPr="00A06EC4">
              <w:t>team work</w:t>
            </w:r>
          </w:p>
          <w:p w:rsidR="00000000" w:rsidRPr="00A06EC4" w:rsidP="00A06EC4">
            <w:pPr>
              <w:pStyle w:val="ListBullet"/>
            </w:pPr>
            <w:r w:rsidRPr="00A06EC4">
              <w:t>techniques for supporting others</w:t>
            </w:r>
          </w:p>
          <w:p w:rsidR="00000000" w:rsidRPr="00A06EC4" w:rsidP="00A06EC4">
            <w:pPr>
              <w:pStyle w:val="ListBullet"/>
            </w:pPr>
            <w:r w:rsidRPr="00A06EC4">
              <w:t>verbal and non-verbal communication techniques</w:t>
            </w:r>
          </w:p>
          <w:p w:rsidR="00000000" w:rsidRPr="00A06EC4" w:rsidP="00A06EC4">
            <w:pPr>
              <w:pStyle w:val="ListBullet"/>
            </w:pPr>
            <w:r w:rsidRPr="00A06EC4">
              <w:t>written communication to a level required to complete workplace documentation and reports</w:t>
            </w:r>
          </w:p>
        </w:tc>
      </w:tr>
    </w:tbl>
    <w:p w:rsidR="00000000" w:rsidRPr="00A06EC4" w:rsidP="00A06EC4">
      <w:pPr>
        <w:pStyle w:val="BodyText"/>
      </w:pPr>
    </w:p>
    <w:p w:rsidR="00000000" w:rsidRPr="00A06EC4" w:rsidP="00A06EC4">
      <w:pPr>
        <w:pStyle w:val="AllowPageBreak"/>
      </w:pPr>
    </w:p>
    <w:p w:rsidR="00000000" w:rsidRPr="00A06EC4" w:rsidP="00A06EC4">
      <w:pPr>
        <w:pStyle w:val="Heading1"/>
      </w:pPr>
      <w:bookmarkStart w:id="10" w:name="O_517704"/>
      <w:bookmarkEnd w:id="10"/>
      <w:r w:rsidRPr="00A06EC4">
        <w:t>Evidence Guide</w:t>
      </w:r>
    </w:p>
    <w:tbl>
      <w:tblPr>
        <w:tblW w:w="0" w:type="auto"/>
        <w:tblLayout w:type="fixed"/>
        <w:tblCellMar>
          <w:left w:w="62" w:type="dxa"/>
          <w:right w:w="62" w:type="dxa"/>
        </w:tblCellMar>
        <w:tblLook w:val="0000"/>
      </w:tblPr>
      <w:tblGrid>
        <w:gridCol w:w="3060"/>
        <w:gridCol w:w="5580"/>
      </w:tblGrid>
      <w:tr w:rsidTr="00A6126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t>The evidence guide provides advice on assessment and must be read in conjunction with the Performance Criteria, Required Skills and Knowledge, the Range Statement and the Assessment Guidelines for this Training Package.</w:t>
            </w:r>
          </w:p>
        </w:tc>
      </w:tr>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06EC4">
            <w:pPr>
              <w:pStyle w:val="BodyText"/>
              <w:rPr>
                <w:lang w:val="en-NZ"/>
              </w:rPr>
            </w:pPr>
            <w:r w:rsidRPr="00A06EC4">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BodyText"/>
            </w:pPr>
            <w:r w:rsidRPr="00A06EC4">
              <w:t>Assessment must confirm the ability to comply with organisational safety requirements, and appropriate legislative and regulatory requirements.</w:t>
            </w:r>
          </w:p>
          <w:p w:rsidR="00000000" w:rsidRPr="00A06EC4" w:rsidP="00A06EC4">
            <w:pPr>
              <w:pStyle w:val="BodyText"/>
            </w:pPr>
            <w:r w:rsidRPr="00A06EC4">
              <w:t>Assessment must als</w:t>
            </w:r>
            <w:r w:rsidRPr="00A06EC4">
              <w:t>o confirm the ability to work safely within an explosive ordnance environment and to:</w:t>
            </w:r>
          </w:p>
          <w:p w:rsidR="00000000" w:rsidRPr="00A06EC4" w:rsidP="00A06EC4">
            <w:pPr>
              <w:pStyle w:val="ListBullet"/>
            </w:pPr>
            <w:r w:rsidRPr="00A06EC4">
              <w:t>identify, select and use personal protective measures</w:t>
            </w:r>
          </w:p>
          <w:p w:rsidR="00000000" w:rsidRPr="00A06EC4" w:rsidP="00A06EC4">
            <w:pPr>
              <w:pStyle w:val="ListBullet"/>
            </w:pPr>
            <w:r w:rsidRPr="00A06EC4">
              <w:t>apply safe manual handling practices</w:t>
            </w:r>
          </w:p>
          <w:p w:rsidR="00000000" w:rsidRPr="00A06EC4" w:rsidP="00A06EC4">
            <w:pPr>
              <w:pStyle w:val="ListBullet"/>
            </w:pPr>
            <w:r w:rsidRPr="00A06EC4">
              <w:t>apply net explosive quantity</w:t>
            </w:r>
          </w:p>
          <w:p w:rsidR="00000000" w:rsidRPr="00A06EC4" w:rsidP="00A06EC4">
            <w:pPr>
              <w:pStyle w:val="ListBullet"/>
            </w:pPr>
            <w:r w:rsidRPr="00A06EC4">
              <w:t>apply compatibility</w:t>
            </w:r>
          </w:p>
          <w:p w:rsidR="00000000" w:rsidRPr="00A06EC4" w:rsidP="00A06EC4">
            <w:pPr>
              <w:pStyle w:val="ListBullet"/>
            </w:pPr>
            <w:r w:rsidRPr="00A06EC4">
              <w:t>identify and report hazards a</w:t>
            </w:r>
            <w:r w:rsidRPr="00A06EC4">
              <w:t>nd incidents</w:t>
            </w:r>
          </w:p>
          <w:p w:rsidR="00000000" w:rsidRPr="00A06EC4" w:rsidP="00A06EC4">
            <w:pPr>
              <w:pStyle w:val="ListBullet"/>
            </w:pPr>
            <w:r w:rsidRPr="00A06EC4">
              <w:t>participate in incident investigations</w:t>
            </w:r>
          </w:p>
          <w:p w:rsidR="00000000" w:rsidRPr="00A06EC4" w:rsidP="00A06EC4">
            <w:pPr>
              <w:pStyle w:val="BodyText"/>
            </w:pPr>
            <w:r w:rsidRPr="00A06EC4">
              <w:rPr>
                <w:rStyle w:val="SpecialBold"/>
              </w:rPr>
              <w:t>Consistency in performance</w:t>
            </w:r>
          </w:p>
          <w:p w:rsidR="00000000" w:rsidP="00A06EC4">
            <w:pPr>
              <w:pStyle w:val="BodyText"/>
              <w:rPr>
                <w:lang w:val="en-NZ"/>
              </w:rPr>
            </w:pPr>
            <w:r w:rsidRPr="00A06EC4">
              <w:t>Competency should be demonstrated over time and observed in a range of actual or simulated explosive ordnance contexts.</w:t>
            </w:r>
          </w:p>
        </w:tc>
      </w:tr>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06EC4" w:rsidP="00A06EC4">
            <w:pPr>
              <w:pStyle w:val="BodyText"/>
            </w:pPr>
            <w:r w:rsidRPr="00A06EC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BodyText"/>
            </w:pPr>
            <w:r w:rsidRPr="00A06EC4">
              <w:rPr>
                <w:rStyle w:val="SpecialBold"/>
              </w:rPr>
              <w:t>Context of assessment</w:t>
            </w:r>
          </w:p>
          <w:p w:rsidR="00000000" w:rsidRPr="00A06EC4" w:rsidP="00A06EC4">
            <w:pPr>
              <w:pStyle w:val="BodyText"/>
            </w:pPr>
            <w:r w:rsidRPr="00A06EC4">
              <w:t>Competency should be assessed in the workplace or in a simulated work environment and in accordance with all relevant legislation and organisational requirements.</w:t>
            </w:r>
          </w:p>
          <w:p w:rsidR="00000000" w:rsidRPr="00A06EC4" w:rsidP="00A06EC4">
            <w:pPr>
              <w:pStyle w:val="BodyText"/>
            </w:pPr>
            <w:r w:rsidRPr="00A06EC4">
              <w:t>Evidence should be gathered through observation of the practical compon</w:t>
            </w:r>
            <w:r w:rsidRPr="00A06EC4">
              <w:t>ent and targeted questioning to assess required knowledge.</w:t>
            </w:r>
          </w:p>
          <w:p w:rsidR="00000000" w:rsidRPr="00A06EC4" w:rsidP="00A06EC4">
            <w:pPr>
              <w:pStyle w:val="BodyText"/>
            </w:pPr>
            <w:r w:rsidRPr="00A06EC4">
              <w:rPr>
                <w:rStyle w:val="SpecialBold"/>
              </w:rPr>
              <w:t>Specific resources for assessment</w:t>
            </w:r>
          </w:p>
          <w:p w:rsidR="00000000" w:rsidRPr="00A06EC4" w:rsidP="00A06EC4">
            <w:pPr>
              <w:pStyle w:val="BodyText"/>
            </w:pPr>
            <w:r w:rsidRPr="00A06EC4">
              <w:t>Access is required to:</w:t>
            </w:r>
          </w:p>
          <w:p w:rsidR="00000000" w:rsidP="00A06EC4">
            <w:pPr>
              <w:pStyle w:val="ListBullet"/>
              <w:rPr>
                <w:lang w:val="en-NZ"/>
              </w:rPr>
            </w:pPr>
            <w:r w:rsidRPr="00A06EC4">
              <w:t>facilities and resources used in the storage, distribution or maintenance of explosive ordnance.</w:t>
            </w:r>
          </w:p>
        </w:tc>
      </w:tr>
      <w:tr w:rsidTr="00A6126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06EC4">
            <w:pPr>
              <w:pStyle w:val="BodyText"/>
              <w:rPr>
                <w:lang w:val="en-NZ"/>
              </w:rPr>
            </w:pPr>
            <w:r w:rsidRPr="00A06EC4">
              <w:rPr>
                <w:rStyle w:val="SpecialBold"/>
              </w:rPr>
              <w:t>Method of assessment</w:t>
            </w:r>
            <w:r w:rsidRPr="00A06EC4">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06EC4" w:rsidP="00A06EC4">
            <w:pPr>
              <w:pStyle w:val="BodyText"/>
            </w:pPr>
            <w:r w:rsidRPr="00A06EC4">
              <w:t>In a public safety environment assessment is usually conducted via direct observation in a training environment or in the workplace via subject matter supervision and/or mentoring, which is typically recorded in a competency workbook.</w:t>
            </w:r>
          </w:p>
          <w:p w:rsidR="00000000" w:rsidRPr="00A06EC4" w:rsidP="00A06EC4">
            <w:pPr>
              <w:pStyle w:val="BodyText"/>
            </w:pPr>
            <w:r w:rsidRPr="00A06EC4">
              <w:t>Assessment is complet</w:t>
            </w:r>
            <w:r w:rsidRPr="00A06EC4">
              <w:t>ed using appropriately qualified assessors who select the most appropriate method of assessment.</w:t>
            </w:r>
          </w:p>
          <w:p w:rsidR="00000000" w:rsidRPr="00A06EC4" w:rsidP="00A06EC4">
            <w:pPr>
              <w:pStyle w:val="BodyText"/>
            </w:pPr>
            <w:r w:rsidRPr="00A06EC4">
              <w:t>Assessment may occur in an operational environment or in an industry-approved simulated work environment. Forms of assessment that are typically used include:</w:t>
            </w:r>
          </w:p>
          <w:p w:rsidR="00000000" w:rsidRPr="00A06EC4" w:rsidP="00A06EC4">
            <w:pPr>
              <w:pStyle w:val="ListBullet"/>
            </w:pPr>
            <w:r w:rsidRPr="00A06EC4">
              <w:t>direct observation</w:t>
            </w:r>
          </w:p>
          <w:p w:rsidR="00000000" w:rsidRPr="00A06EC4" w:rsidP="00A06EC4">
            <w:pPr>
              <w:pStyle w:val="ListBullet"/>
            </w:pPr>
            <w:r w:rsidRPr="00A06EC4">
              <w:t>interviewing the candidate</w:t>
            </w:r>
          </w:p>
          <w:p w:rsidR="00000000" w:rsidRPr="00A06EC4" w:rsidP="00A06EC4">
            <w:pPr>
              <w:pStyle w:val="ListBullet"/>
            </w:pPr>
            <w:r w:rsidRPr="00A06EC4">
              <w:t>journals and workplace documentation</w:t>
            </w:r>
          </w:p>
          <w:p w:rsidR="00000000" w:rsidRPr="00A06EC4" w:rsidP="00A06EC4">
            <w:pPr>
              <w:pStyle w:val="ListBullet"/>
            </w:pPr>
            <w:r w:rsidRPr="00A06EC4">
              <w:t>third party reports from supervisors</w:t>
            </w:r>
          </w:p>
          <w:p w:rsidR="00000000" w:rsidRPr="00A06EC4" w:rsidP="00A06EC4">
            <w:pPr>
              <w:pStyle w:val="ListBullet"/>
            </w:pPr>
            <w:r w:rsidRPr="00A06EC4">
              <w:t>written or oral questions</w:t>
            </w:r>
          </w:p>
        </w:tc>
      </w:tr>
    </w:tbl>
    <w:p w:rsidR="00000000" w:rsidRPr="00A06EC4" w:rsidP="00A06EC4">
      <w:pPr>
        <w:pStyle w:val="BodyText"/>
      </w:pPr>
    </w:p>
    <w:p w:rsidR="00000000" w:rsidRPr="00A06EC4" w:rsidP="00A06EC4">
      <w:pPr>
        <w:pStyle w:val="AllowPageBreak"/>
      </w:pPr>
    </w:p>
    <w:p w:rsidR="00000000" w:rsidRPr="00A06EC4" w:rsidP="00A06EC4">
      <w:pPr>
        <w:pStyle w:val="Heading1"/>
      </w:pPr>
      <w:bookmarkStart w:id="11" w:name="O_517703"/>
      <w:bookmarkEnd w:id="11"/>
      <w:r w:rsidRPr="00A06EC4">
        <w:t>Range Statement</w:t>
      </w:r>
    </w:p>
    <w:tbl>
      <w:tblPr>
        <w:tblW w:w="0" w:type="auto"/>
        <w:tblLayout w:type="fixed"/>
        <w:tblCellMar>
          <w:left w:w="62" w:type="dxa"/>
          <w:right w:w="62" w:type="dxa"/>
        </w:tblCellMar>
        <w:tblLook w:val="0000"/>
      </w:tblPr>
      <w:tblGrid>
        <w:gridCol w:w="3060"/>
        <w:gridCol w:w="5580"/>
      </w:tblGrid>
      <w:tr w:rsidTr="00A06E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t xml:space="preserve">The Range Statement relates to the Unit of Competency as a whole. It allows for different work environments and situations that may affect performance. </w:t>
            </w:r>
            <w:r w:rsidRPr="00A06EC4">
              <w:rPr>
                <w:rStyle w:val="BoldandItalics"/>
              </w:rPr>
              <w:t>Bold italicised</w:t>
            </w:r>
            <w:r w:rsidRPr="00A06EC4">
              <w:t xml:space="preserve"> wording in the Performance Criteria is detailed below.</w:t>
            </w:r>
          </w:p>
        </w:tc>
      </w:tr>
      <w:tr w:rsidTr="00A0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BoldandItalics"/>
              </w:rPr>
              <w:t xml:space="preserve">Explosive ordnance </w:t>
            </w:r>
            <w:r w:rsidRPr="00A06EC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06EC4" w:rsidP="00A06EC4">
            <w:pPr>
              <w:pStyle w:val="ListBullet"/>
            </w:pPr>
            <w:r w:rsidRPr="00A06EC4">
              <w:t>All munitions containing explosives, nuclear fission or fusion materials and biological and chemical agents, including:</w:t>
            </w:r>
          </w:p>
          <w:p w:rsidR="00000000" w:rsidRPr="00A06EC4" w:rsidP="00A06EC4">
            <w:pPr>
              <w:pStyle w:val="ListBullet"/>
            </w:pPr>
            <w:r w:rsidRPr="00A06EC4">
              <w:t>all mines, torpedoes and depth charges</w:t>
            </w:r>
          </w:p>
          <w:p w:rsidR="00000000" w:rsidRPr="00A06EC4" w:rsidP="00A06EC4">
            <w:pPr>
              <w:pStyle w:val="ListBullet"/>
            </w:pPr>
            <w:r w:rsidRPr="00A06EC4">
              <w:t>artillery, mortar, rocket and small arms ammunition</w:t>
            </w:r>
          </w:p>
          <w:p w:rsidR="00000000" w:rsidRPr="00A06EC4" w:rsidP="00A06EC4">
            <w:pPr>
              <w:pStyle w:val="ListBullet"/>
            </w:pPr>
            <w:r w:rsidRPr="00A06EC4">
              <w:t>bombs and warheads</w:t>
            </w:r>
          </w:p>
          <w:p w:rsidR="00000000" w:rsidRPr="00A06EC4" w:rsidP="00A06EC4">
            <w:pPr>
              <w:pStyle w:val="ListBullet"/>
            </w:pPr>
            <w:r w:rsidRPr="00A06EC4">
              <w:t>cartridge and propellant</w:t>
            </w:r>
            <w:r w:rsidRPr="00A06EC4">
              <w:t xml:space="preserve"> actuated devices</w:t>
            </w:r>
          </w:p>
          <w:p w:rsidR="00000000" w:rsidRPr="00A06EC4" w:rsidP="00A06EC4">
            <w:pPr>
              <w:pStyle w:val="ListBullet"/>
            </w:pPr>
            <w:r w:rsidRPr="00A06EC4">
              <w:t>clandestine and other improvised explosive devices</w:t>
            </w:r>
          </w:p>
          <w:p w:rsidR="00000000" w:rsidRPr="00A06EC4" w:rsidP="00A06EC4">
            <w:pPr>
              <w:pStyle w:val="ListBullet"/>
            </w:pPr>
            <w:r w:rsidRPr="00A06EC4">
              <w:t>clusters and dispensers</w:t>
            </w:r>
          </w:p>
          <w:p w:rsidR="00000000" w:rsidRPr="00A06EC4" w:rsidP="00A06EC4">
            <w:pPr>
              <w:pStyle w:val="ListBullet"/>
            </w:pPr>
            <w:r w:rsidRPr="00A06EC4">
              <w:t>demolition charges</w:t>
            </w:r>
          </w:p>
          <w:p w:rsidR="00000000" w:rsidRPr="00A06EC4" w:rsidP="00A06EC4">
            <w:pPr>
              <w:pStyle w:val="ListBullet"/>
            </w:pPr>
            <w:r w:rsidRPr="00A06EC4">
              <w:t>electro explosive devices</w:t>
            </w:r>
          </w:p>
          <w:p w:rsidR="00000000" w:rsidRPr="00A06EC4" w:rsidP="00A06EC4">
            <w:pPr>
              <w:pStyle w:val="ListBullet"/>
            </w:pPr>
            <w:r w:rsidRPr="00A06EC4">
              <w:t>guided and ballistic missiles</w:t>
            </w:r>
          </w:p>
          <w:p w:rsidR="00000000" w:rsidRPr="00A06EC4" w:rsidP="00A06EC4">
            <w:pPr>
              <w:pStyle w:val="ListBullet"/>
            </w:pPr>
            <w:r w:rsidRPr="00A06EC4">
              <w:t>pyrotechnics</w:t>
            </w:r>
          </w:p>
          <w:p w:rsidR="00000000" w:rsidP="00A06EC4">
            <w:pPr>
              <w:pStyle w:val="ListBullet"/>
              <w:rPr>
                <w:lang w:val="en-NZ"/>
              </w:rPr>
            </w:pPr>
            <w:r w:rsidRPr="00A06EC4">
              <w:t>all similar or related items or components explosive in nature</w:t>
            </w:r>
          </w:p>
        </w:tc>
      </w:tr>
      <w:tr w:rsidTr="00A0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BoldandItalics"/>
              </w:rPr>
              <w:t xml:space="preserve">Safety procedures and instructions </w:t>
            </w:r>
            <w:r w:rsidRPr="00A06EC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06EC4" w:rsidP="00A06EC4">
            <w:pPr>
              <w:pStyle w:val="ListBullet"/>
            </w:pPr>
            <w:r w:rsidRPr="00A06EC4">
              <w:t>explosive ordnance governance regulations, policy and procedures</w:t>
            </w:r>
          </w:p>
          <w:p w:rsidR="00000000" w:rsidP="00A06EC4">
            <w:pPr>
              <w:pStyle w:val="ListBullet"/>
              <w:rPr>
                <w:lang w:val="en-NZ"/>
              </w:rPr>
            </w:pPr>
            <w:r w:rsidRPr="00A06EC4">
              <w:t>organisational instructions</w:t>
            </w:r>
          </w:p>
        </w:tc>
      </w:tr>
      <w:tr w:rsidTr="00A0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BoldandItalics"/>
              </w:rPr>
              <w:t xml:space="preserve">Organisation </w:t>
            </w:r>
            <w:r w:rsidRPr="00A06EC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06EC4" w:rsidP="00A06EC4">
            <w:pPr>
              <w:pStyle w:val="ListBullet"/>
            </w:pPr>
            <w:r w:rsidRPr="00A06EC4">
              <w:t>defence organisation</w:t>
            </w:r>
          </w:p>
          <w:p w:rsidR="00000000" w:rsidRPr="00A06EC4" w:rsidP="00A06EC4">
            <w:pPr>
              <w:pStyle w:val="ListBullet"/>
            </w:pPr>
            <w:r w:rsidRPr="00A06EC4">
              <w:t>enterprises that work with explosive ordnance</w:t>
            </w:r>
          </w:p>
          <w:p w:rsidR="00000000" w:rsidP="00A06EC4">
            <w:pPr>
              <w:pStyle w:val="ListBullet"/>
              <w:rPr>
                <w:lang w:val="en-NZ"/>
              </w:rPr>
            </w:pPr>
            <w:r w:rsidRPr="00A06EC4">
              <w:t>other government de</w:t>
            </w:r>
            <w:r w:rsidRPr="00A06EC4">
              <w:t>partments or instrumentalities that work with explosive ordnance</w:t>
            </w:r>
          </w:p>
        </w:tc>
      </w:tr>
      <w:tr w:rsidTr="00A0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BoldandItalics"/>
              </w:rPr>
              <w:t xml:space="preserve">Personal protective measures </w:t>
            </w:r>
            <w:r w:rsidRPr="00A06EC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06EC4" w:rsidP="00A06EC4">
            <w:pPr>
              <w:pStyle w:val="ListBullet"/>
            </w:pPr>
            <w:r w:rsidRPr="00A06EC4">
              <w:t>adherence to all work health and safety (WHS) regulations, policy and procedures</w:t>
            </w:r>
          </w:p>
          <w:p w:rsidR="00000000" w:rsidRPr="00A06EC4" w:rsidP="00A06EC4">
            <w:pPr>
              <w:pStyle w:val="ListBullet"/>
            </w:pPr>
            <w:r w:rsidRPr="00A06EC4">
              <w:t>organisational instructions</w:t>
            </w:r>
          </w:p>
          <w:p w:rsidR="00000000" w:rsidP="00A06EC4">
            <w:pPr>
              <w:pStyle w:val="ListBullet"/>
              <w:rPr>
                <w:lang w:val="en-NZ"/>
              </w:rPr>
            </w:pPr>
            <w:r w:rsidRPr="00A06EC4">
              <w:t>personal protective equipment</w:t>
            </w:r>
          </w:p>
        </w:tc>
      </w:tr>
      <w:tr w:rsidTr="00A0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BoldandItalics"/>
              </w:rPr>
              <w:t xml:space="preserve">Dangerous goods and hazardous substances </w:t>
            </w:r>
            <w:r w:rsidRPr="00A06EC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P="00A06EC4">
            <w:pPr>
              <w:pStyle w:val="ListBullet"/>
              <w:rPr>
                <w:lang w:val="en-NZ"/>
              </w:rPr>
            </w:pPr>
            <w:r w:rsidRPr="00A06EC4">
              <w:t>any item that is identified by the UN Classification System for Dangerous Goods</w:t>
            </w:r>
          </w:p>
        </w:tc>
      </w:tr>
      <w:tr w:rsidTr="00A0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BoldandItalics"/>
              </w:rPr>
              <w:t xml:space="preserve">Net explosive quantity </w:t>
            </w:r>
            <w:r w:rsidRPr="00A06EC4">
              <w:t>includes:</w:t>
            </w:r>
          </w:p>
        </w:tc>
        <w:tc>
          <w:tcPr>
            <w:tcW w:w="5580" w:type="dxa"/>
            <w:tcBorders>
              <w:top w:val="nil"/>
              <w:left w:val="single" w:sz="4" w:space="0" w:color="auto"/>
              <w:bottom w:val="nil"/>
              <w:right w:val="nil"/>
            </w:tcBorders>
            <w:tcMar>
              <w:top w:w="0" w:type="dxa"/>
              <w:left w:w="62" w:type="dxa"/>
              <w:bottom w:w="0" w:type="dxa"/>
              <w:right w:w="62" w:type="dxa"/>
            </w:tcMar>
          </w:tcPr>
          <w:p w:rsidR="00000000" w:rsidP="00A06EC4">
            <w:pPr>
              <w:pStyle w:val="ListBullet"/>
              <w:rPr>
                <w:lang w:val="en-NZ"/>
              </w:rPr>
            </w:pPr>
            <w:r w:rsidRPr="00A06EC4">
              <w:t>explosive capacity calculated in a wide range of activities related to the storage, di</w:t>
            </w:r>
            <w:r w:rsidRPr="00A06EC4">
              <w:t>stribution and maintenance of explosive ordnance</w:t>
            </w:r>
          </w:p>
        </w:tc>
      </w:tr>
      <w:tr w:rsidTr="00A0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BoldandItalics"/>
              </w:rPr>
              <w:t xml:space="preserve">Compatibility </w:t>
            </w:r>
            <w:r w:rsidRPr="00A06EC4">
              <w:t>is:</w:t>
            </w:r>
          </w:p>
        </w:tc>
        <w:tc>
          <w:tcPr>
            <w:tcW w:w="5580" w:type="dxa"/>
            <w:tcBorders>
              <w:top w:val="nil"/>
              <w:left w:val="single" w:sz="4" w:space="0" w:color="auto"/>
              <w:bottom w:val="nil"/>
              <w:right w:val="nil"/>
            </w:tcBorders>
            <w:tcMar>
              <w:top w:w="0" w:type="dxa"/>
              <w:left w:w="62" w:type="dxa"/>
              <w:bottom w:w="0" w:type="dxa"/>
              <w:right w:w="62" w:type="dxa"/>
            </w:tcMar>
          </w:tcPr>
          <w:p w:rsidR="00000000" w:rsidP="00A06EC4">
            <w:pPr>
              <w:pStyle w:val="ListBullet"/>
              <w:rPr>
                <w:lang w:val="en-NZ"/>
              </w:rPr>
            </w:pPr>
            <w:r w:rsidRPr="00A06EC4">
              <w:t>applied in a wide range of activities related to the storage, distribution and maintenance of explosive ordnance and other hazardous materials</w:t>
            </w:r>
          </w:p>
        </w:tc>
      </w:tr>
      <w:tr w:rsidTr="00A06E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6EC4">
            <w:pPr>
              <w:pStyle w:val="BodyText"/>
              <w:rPr>
                <w:lang w:val="en-NZ"/>
              </w:rPr>
            </w:pPr>
            <w:r w:rsidRPr="00A06EC4">
              <w:rPr>
                <w:rStyle w:val="BoldandItalics"/>
              </w:rPr>
              <w:t xml:space="preserve">Reports </w:t>
            </w:r>
            <w:r w:rsidRPr="00A06EC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06EC4" w:rsidP="00A06EC4">
            <w:pPr>
              <w:pStyle w:val="ListBullet"/>
            </w:pPr>
            <w:r w:rsidRPr="00A06EC4">
              <w:t xml:space="preserve">approved forms </w:t>
            </w:r>
          </w:p>
          <w:p w:rsidR="00000000" w:rsidRPr="00A06EC4" w:rsidP="00A06EC4">
            <w:pPr>
              <w:pStyle w:val="ListBullet"/>
            </w:pPr>
            <w:r w:rsidRPr="00A06EC4">
              <w:t>verbal</w:t>
            </w:r>
          </w:p>
          <w:p w:rsidR="00000000" w:rsidRPr="00A06EC4" w:rsidP="00A06EC4">
            <w:pPr>
              <w:pStyle w:val="ListBullet"/>
            </w:pPr>
            <w:r w:rsidRPr="00A06EC4">
              <w:t>written</w:t>
            </w:r>
          </w:p>
        </w:tc>
      </w:tr>
    </w:tbl>
    <w:p w:rsidR="00A6126F" w:rsidP="00A06EC4">
      <w:pPr>
        <w:pStyle w:val="BodyText"/>
      </w:pPr>
    </w:p>
    <w:p w:rsidR="00A6126F" w:rsidP="00A06EC4">
      <w:pPr>
        <w:pStyle w:val="BodyText"/>
      </w:pPr>
    </w:p>
    <w:p w:rsidR="00000000" w:rsidRPr="00A06EC4" w:rsidP="00A06EC4">
      <w:pPr>
        <w:pStyle w:val="Heading1"/>
      </w:pPr>
      <w:bookmarkStart w:id="12" w:name="O_517702"/>
      <w:bookmarkEnd w:id="12"/>
      <w:r w:rsidRPr="00A06EC4">
        <w:t>Unit Sector(s)</w:t>
      </w:r>
    </w:p>
    <w:p w:rsidR="00000000" w:rsidRPr="00A06EC4" w:rsidP="00A06EC4">
      <w:pPr>
        <w:pStyle w:val="BodyText"/>
      </w:pPr>
      <w:r w:rsidRPr="00A06EC4">
        <w:t>Not applicable.</w:t>
      </w:r>
    </w:p>
    <w:p w:rsidR="00000000" w:rsidRPr="00A06EC4" w:rsidP="00A06EC4"/>
    <w:sectPr w:rsidSect="00A06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4" w:rsidRPr="00A6126F" w:rsidP="00A612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F" w:rsidP="00A06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126F" w:rsidP="00A06EC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6126F" w:rsidP="00A06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4" w:rsidRPr="00A6126F" w:rsidP="00A612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F" w:rsidRPr="002D2AF8" w:rsidP="00A06EC4">
    <w:pPr>
      <w:pStyle w:val="Header"/>
      <w:framePr w:wrap="around"/>
    </w:pPr>
    <w:r>
      <w:fldChar w:fldCharType="begin"/>
    </w:r>
    <w:r>
      <w:instrText xml:space="preserve"> TITLE   \* MERGEFORMAT </w:instrText>
    </w:r>
    <w:r>
      <w:fldChar w:fldCharType="separate"/>
    </w:r>
    <w:r>
      <w:t>DEFEO101D Work safely with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A6126F" w:rsidP="00A06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365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0C1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EC4"/>
    <w:pPr>
      <w:spacing w:before="360" w:after="60"/>
      <w:outlineLvl w:val="0"/>
    </w:pPr>
    <w:rPr>
      <w:sz w:val="32"/>
    </w:rPr>
  </w:style>
  <w:style w:type="paragraph" w:styleId="Heading2">
    <w:name w:val="heading 2"/>
    <w:basedOn w:val="HeadingBase"/>
    <w:next w:val="BodyText"/>
    <w:link w:val="Heading2Char"/>
    <w:qFormat/>
    <w:rsid w:val="00A06EC4"/>
    <w:pPr>
      <w:keepLines/>
      <w:spacing w:before="240" w:after="120"/>
      <w:outlineLvl w:val="1"/>
    </w:pPr>
    <w:rPr>
      <w:sz w:val="28"/>
      <w:szCs w:val="40"/>
    </w:rPr>
  </w:style>
  <w:style w:type="paragraph" w:styleId="Heading3">
    <w:name w:val="heading 3"/>
    <w:basedOn w:val="HeadingBase"/>
    <w:next w:val="BodyText"/>
    <w:link w:val="Heading3Char"/>
    <w:qFormat/>
    <w:rsid w:val="00A06EC4"/>
    <w:pPr>
      <w:spacing w:before="180" w:after="120"/>
      <w:outlineLvl w:val="2"/>
    </w:pPr>
    <w:rPr>
      <w:spacing w:val="-10"/>
      <w:kern w:val="32"/>
    </w:rPr>
  </w:style>
  <w:style w:type="paragraph" w:styleId="Heading4">
    <w:name w:val="heading 4"/>
    <w:basedOn w:val="HeadingBase"/>
    <w:next w:val="BodyText"/>
    <w:link w:val="Heading4Char"/>
    <w:qFormat/>
    <w:rsid w:val="00A06EC4"/>
    <w:pPr>
      <w:spacing w:before="160" w:after="120"/>
      <w:outlineLvl w:val="3"/>
    </w:pPr>
    <w:rPr>
      <w:sz w:val="22"/>
    </w:rPr>
  </w:style>
  <w:style w:type="paragraph" w:styleId="Heading5">
    <w:name w:val="heading 5"/>
    <w:basedOn w:val="HeadingBase"/>
    <w:next w:val="Normal"/>
    <w:link w:val="Heading5Char"/>
    <w:qFormat/>
    <w:rsid w:val="00A06EC4"/>
    <w:pPr>
      <w:spacing w:before="80"/>
      <w:outlineLvl w:val="4"/>
    </w:pPr>
    <w:rPr>
      <w:color w:val="918585"/>
      <w:sz w:val="20"/>
    </w:rPr>
  </w:style>
  <w:style w:type="paragraph" w:styleId="Heading6">
    <w:name w:val="heading 6"/>
    <w:basedOn w:val="HeadingBase"/>
    <w:next w:val="Normal"/>
    <w:link w:val="Heading6Char"/>
    <w:qFormat/>
    <w:rsid w:val="00A06EC4"/>
    <w:pPr>
      <w:spacing w:before="60"/>
      <w:outlineLvl w:val="5"/>
    </w:pPr>
    <w:rPr>
      <w:color w:val="918585"/>
      <w:sz w:val="20"/>
    </w:rPr>
  </w:style>
  <w:style w:type="paragraph" w:styleId="Heading7">
    <w:name w:val="heading 7"/>
    <w:basedOn w:val="Normal"/>
    <w:next w:val="Normal"/>
    <w:link w:val="Heading7Char"/>
    <w:qFormat/>
    <w:rsid w:val="00A06EC4"/>
    <w:pPr>
      <w:ind w:left="720"/>
      <w:outlineLvl w:val="6"/>
    </w:pPr>
    <w:rPr>
      <w:i/>
    </w:rPr>
  </w:style>
  <w:style w:type="paragraph" w:styleId="Heading8">
    <w:name w:val="heading 8"/>
    <w:basedOn w:val="Normal"/>
    <w:next w:val="Normal"/>
    <w:link w:val="Heading8Char"/>
    <w:qFormat/>
    <w:rsid w:val="00A06EC4"/>
    <w:pPr>
      <w:ind w:left="720"/>
      <w:outlineLvl w:val="7"/>
    </w:pPr>
    <w:rPr>
      <w:i/>
    </w:rPr>
  </w:style>
  <w:style w:type="paragraph" w:styleId="Heading9">
    <w:name w:val="heading 9"/>
    <w:basedOn w:val="Normal"/>
    <w:next w:val="Normal"/>
    <w:link w:val="Heading9Char"/>
    <w:qFormat/>
    <w:rsid w:val="00A06EC4"/>
    <w:pPr>
      <w:ind w:left="720"/>
      <w:outlineLvl w:val="8"/>
    </w:pPr>
    <w:rPr>
      <w:i/>
    </w:rPr>
  </w:style>
  <w:style w:type="character" w:default="1" w:styleId="DefaultParagraphFont">
    <w:name w:val="Default Paragraph Font"/>
    <w:uiPriority w:val="1"/>
    <w:unhideWhenUsed/>
    <w:rsid w:val="00A06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EC4"/>
  </w:style>
  <w:style w:type="character" w:customStyle="1" w:styleId="Heading1Char">
    <w:name w:val="Heading 1 Char"/>
    <w:basedOn w:val="DefaultParagraphFont"/>
    <w:link w:val="Heading1"/>
    <w:rsid w:val="00A06EC4"/>
    <w:rPr>
      <w:rFonts w:ascii="Times New Roman" w:eastAsia="Times New Roman" w:hAnsi="Times New Roman" w:cs="Times New Roman"/>
      <w:b/>
      <w:sz w:val="32"/>
      <w:szCs w:val="20"/>
      <w:lang w:eastAsia="en-US"/>
    </w:rPr>
  </w:style>
  <w:style w:type="paragraph" w:styleId="BodyText">
    <w:name w:val="Body Text"/>
    <w:basedOn w:val="Normal"/>
    <w:link w:val="BodyTextChar"/>
    <w:rsid w:val="00A06E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EC4"/>
    <w:rPr>
      <w:rFonts w:ascii="Times New Roman" w:eastAsia="Times New Roman" w:hAnsi="Times New Roman" w:cs="Times New Roman"/>
      <w:sz w:val="24"/>
      <w:lang w:eastAsia="en-US"/>
    </w:rPr>
  </w:style>
  <w:style w:type="paragraph" w:styleId="List">
    <w:name w:val="List"/>
    <w:basedOn w:val="BodyText"/>
    <w:next w:val="BodyText"/>
    <w:rsid w:val="00A06EC4"/>
    <w:pPr>
      <w:tabs>
        <w:tab w:val="left" w:pos="340"/>
      </w:tabs>
      <w:spacing w:before="60" w:after="60"/>
      <w:ind w:left="340" w:hanging="340"/>
    </w:pPr>
  </w:style>
  <w:style w:type="paragraph" w:styleId="ListBullet">
    <w:name w:val="List Bullet"/>
    <w:basedOn w:val="List"/>
    <w:rsid w:val="00A06EC4"/>
    <w:pPr>
      <w:numPr>
        <w:numId w:val="12"/>
      </w:numPr>
      <w:tabs>
        <w:tab w:val="clear" w:pos="340"/>
      </w:tabs>
      <w:spacing w:before="40" w:after="40"/>
    </w:pPr>
  </w:style>
  <w:style w:type="character" w:customStyle="1" w:styleId="SpecialBold">
    <w:name w:val="Special Bold"/>
    <w:basedOn w:val="DefaultParagraphFont"/>
    <w:rsid w:val="00A06EC4"/>
    <w:rPr>
      <w:b/>
      <w:spacing w:val="0"/>
    </w:rPr>
  </w:style>
  <w:style w:type="paragraph" w:customStyle="1" w:styleId="SuperHeading">
    <w:name w:val="SuperHeading"/>
    <w:basedOn w:val="Normal"/>
    <w:rsid w:val="00A06EC4"/>
    <w:pPr>
      <w:spacing w:before="240" w:after="120"/>
      <w:outlineLvl w:val="0"/>
    </w:pPr>
    <w:rPr>
      <w:rFonts w:ascii="Times New Roman" w:hAnsi="Times New Roman"/>
      <w:b/>
      <w:sz w:val="32"/>
    </w:rPr>
  </w:style>
  <w:style w:type="paragraph" w:customStyle="1" w:styleId="AllowPageBreak">
    <w:name w:val="AllowPageBreak"/>
    <w:rsid w:val="00A06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6EC4"/>
    <w:rPr>
      <w:b/>
      <w:i/>
      <w:u w:val="none"/>
    </w:rPr>
  </w:style>
  <w:style w:type="character" w:customStyle="1" w:styleId="Heading2Char">
    <w:name w:val="Heading 2 Char"/>
    <w:basedOn w:val="DefaultParagraphFont"/>
    <w:link w:val="Heading2"/>
    <w:rsid w:val="00A06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EC4"/>
    <w:rPr>
      <w:rFonts w:ascii="Courier New" w:eastAsia="Times New Roman" w:hAnsi="Courier New" w:cs="Times New Roman"/>
      <w:i/>
      <w:szCs w:val="20"/>
      <w:lang w:eastAsia="en-US"/>
    </w:rPr>
  </w:style>
  <w:style w:type="paragraph" w:customStyle="1" w:styleId="HeadingBase">
    <w:name w:val="Heading Base"/>
    <w:rsid w:val="00A06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EC4"/>
    <w:pPr>
      <w:tabs>
        <w:tab w:val="right" w:leader="dot" w:pos="9072"/>
      </w:tabs>
      <w:ind w:left="567"/>
    </w:pPr>
    <w:rPr>
      <w:szCs w:val="22"/>
    </w:rPr>
  </w:style>
  <w:style w:type="paragraph" w:customStyle="1" w:styleId="TOCBase">
    <w:name w:val="TOC Base"/>
    <w:rsid w:val="00A06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EC4"/>
    <w:pPr>
      <w:tabs>
        <w:tab w:val="right" w:leader="dot" w:pos="9072"/>
      </w:tabs>
      <w:spacing w:before="40" w:after="40"/>
      <w:ind w:left="284"/>
    </w:pPr>
    <w:rPr>
      <w:rFonts w:ascii="Times New Roman" w:hAnsi="Times New Roman"/>
    </w:rPr>
  </w:style>
  <w:style w:type="paragraph" w:styleId="TOC1">
    <w:name w:val="toc 1"/>
    <w:basedOn w:val="TOCBase"/>
    <w:next w:val="Normal"/>
    <w:rsid w:val="00A06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EC4"/>
    <w:rPr>
      <w:rFonts w:ascii="Times New Roman" w:eastAsia="Times New Roman" w:hAnsi="Times New Roman" w:cs="Times New Roman"/>
      <w:sz w:val="16"/>
      <w:lang w:eastAsia="en-US"/>
    </w:rPr>
  </w:style>
  <w:style w:type="paragraph" w:styleId="Title">
    <w:name w:val="Title"/>
    <w:basedOn w:val="HeadingBase"/>
    <w:link w:val="TitleChar"/>
    <w:qFormat/>
    <w:rsid w:val="00A06EC4"/>
    <w:pPr>
      <w:spacing w:before="5040"/>
      <w:jc w:val="center"/>
    </w:pPr>
    <w:rPr>
      <w:sz w:val="48"/>
      <w:szCs w:val="72"/>
      <w:lang w:val="en-US"/>
    </w:rPr>
  </w:style>
  <w:style w:type="character" w:customStyle="1" w:styleId="TitleChar">
    <w:name w:val="Title Char"/>
    <w:basedOn w:val="DefaultParagraphFont"/>
    <w:link w:val="Title"/>
    <w:rsid w:val="00A06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EC4"/>
    <w:pPr>
      <w:tabs>
        <w:tab w:val="left" w:pos="3600"/>
        <w:tab w:val="left" w:pos="3958"/>
      </w:tabs>
    </w:pPr>
  </w:style>
  <w:style w:type="paragraph" w:customStyle="1" w:styleId="Note">
    <w:name w:val="Note"/>
    <w:basedOn w:val="BodyText"/>
    <w:rsid w:val="00A06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EC4"/>
    <w:pPr>
      <w:framePr w:wrap="auto" w:hAnchor="text" w:y="6049"/>
    </w:pPr>
    <w:rPr>
      <w:color w:val="000000"/>
      <w:sz w:val="40"/>
    </w:rPr>
  </w:style>
  <w:style w:type="paragraph" w:customStyle="1" w:styleId="TOCTitle">
    <w:name w:val="TOCTitle"/>
    <w:basedOn w:val="Heading1"/>
    <w:rsid w:val="00A06EC4"/>
    <w:pPr>
      <w:spacing w:after="240"/>
      <w:jc w:val="center"/>
      <w:outlineLvl w:val="9"/>
    </w:pPr>
    <w:rPr>
      <w:caps/>
    </w:rPr>
  </w:style>
  <w:style w:type="paragraph" w:customStyle="1" w:styleId="Version">
    <w:name w:val="Version"/>
    <w:rsid w:val="00A06E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EC4"/>
    <w:pPr>
      <w:numPr>
        <w:numId w:val="13"/>
      </w:numPr>
      <w:tabs>
        <w:tab w:val="clear" w:pos="680"/>
      </w:tabs>
    </w:pPr>
  </w:style>
  <w:style w:type="paragraph" w:styleId="Index1">
    <w:name w:val="index 1"/>
    <w:basedOn w:val="Normal"/>
    <w:next w:val="Normal"/>
    <w:semiHidden/>
    <w:rsid w:val="00A06EC4"/>
    <w:pPr>
      <w:keepNext w:val="0"/>
      <w:tabs>
        <w:tab w:val="right" w:pos="4176"/>
      </w:tabs>
      <w:ind w:left="198" w:hanging="198"/>
    </w:pPr>
    <w:rPr>
      <w:rFonts w:ascii="Garamond" w:hAnsi="Garamond"/>
    </w:rPr>
  </w:style>
  <w:style w:type="paragraph" w:styleId="IndexHeading">
    <w:name w:val="index heading"/>
    <w:basedOn w:val="Normal"/>
    <w:next w:val="Index1"/>
    <w:semiHidden/>
    <w:rsid w:val="00A06EC4"/>
    <w:pPr>
      <w:spacing w:before="120" w:after="120"/>
    </w:pPr>
    <w:rPr>
      <w:rFonts w:ascii="Arial" w:hAnsi="Arial"/>
      <w:b/>
      <w:color w:val="918585"/>
      <w:sz w:val="24"/>
    </w:rPr>
  </w:style>
  <w:style w:type="paragraph" w:styleId="Header">
    <w:name w:val="header"/>
    <w:basedOn w:val="Normal"/>
    <w:link w:val="HeaderChar"/>
    <w:rsid w:val="00A06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EC4"/>
    <w:rPr>
      <w:rFonts w:ascii="Times New Roman" w:eastAsia="Times New Roman" w:hAnsi="Times New Roman" w:cs="Times New Roman"/>
      <w:sz w:val="16"/>
      <w:szCs w:val="20"/>
      <w:lang w:val="en-GB" w:eastAsia="en-US"/>
    </w:rPr>
  </w:style>
  <w:style w:type="paragraph" w:customStyle="1" w:styleId="Chapter">
    <w:name w:val="Chapter"/>
    <w:basedOn w:val="Normal"/>
    <w:rsid w:val="00A06EC4"/>
    <w:pPr>
      <w:spacing w:before="240"/>
    </w:pPr>
    <w:rPr>
      <w:rFonts w:ascii="Times New Roman" w:hAnsi="Times New Roman"/>
      <w:smallCaps/>
      <w:spacing w:val="80"/>
      <w:sz w:val="28"/>
    </w:rPr>
  </w:style>
  <w:style w:type="paragraph" w:customStyle="1" w:styleId="InChapter">
    <w:name w:val="InChapter"/>
    <w:basedOn w:val="Heading3"/>
    <w:rsid w:val="00A06EC4"/>
    <w:pPr>
      <w:spacing w:after="240"/>
      <w:outlineLvl w:val="9"/>
    </w:pPr>
    <w:rPr>
      <w:noProof/>
    </w:rPr>
  </w:style>
  <w:style w:type="paragraph" w:styleId="Index2">
    <w:name w:val="index 2"/>
    <w:basedOn w:val="Normal"/>
    <w:next w:val="Normal"/>
    <w:semiHidden/>
    <w:rsid w:val="00A06EC4"/>
    <w:pPr>
      <w:tabs>
        <w:tab w:val="right" w:pos="4176"/>
      </w:tabs>
      <w:ind w:left="568" w:hanging="284"/>
    </w:pPr>
    <w:rPr>
      <w:rFonts w:ascii="Garamond" w:hAnsi="Garamond"/>
    </w:rPr>
  </w:style>
  <w:style w:type="paragraph" w:customStyle="1" w:styleId="Byline">
    <w:name w:val="Byline"/>
    <w:rsid w:val="00A06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EC4"/>
    <w:pPr>
      <w:tabs>
        <w:tab w:val="clear" w:pos="3600"/>
        <w:tab w:val="clear" w:pos="3958"/>
      </w:tabs>
      <w:jc w:val="right"/>
    </w:pPr>
  </w:style>
  <w:style w:type="character" w:styleId="Emphasis">
    <w:name w:val="Emphasis"/>
    <w:basedOn w:val="DefaultParagraphFont"/>
    <w:qFormat/>
    <w:rsid w:val="00A06EC4"/>
    <w:rPr>
      <w:i/>
    </w:rPr>
  </w:style>
  <w:style w:type="paragraph" w:styleId="Caption">
    <w:name w:val="caption"/>
    <w:basedOn w:val="BodyText"/>
    <w:next w:val="Normal"/>
    <w:qFormat/>
    <w:rsid w:val="00A06EC4"/>
    <w:pPr>
      <w:framePr w:w="2268" w:hSpace="181" w:vSpace="181" w:wrap="around" w:vAnchor="text" w:hAnchor="page" w:x="1135" w:y="285" w:anchorLock="1"/>
    </w:pPr>
    <w:rPr>
      <w:i/>
    </w:rPr>
  </w:style>
  <w:style w:type="paragraph" w:customStyle="1" w:styleId="MiniTOCTitle">
    <w:name w:val="MiniTOCTitle"/>
    <w:basedOn w:val="Heading4"/>
    <w:rsid w:val="00A06EC4"/>
    <w:pPr>
      <w:spacing w:before="240"/>
      <w:outlineLvl w:val="9"/>
    </w:pPr>
    <w:rPr>
      <w:noProof/>
      <w:sz w:val="24"/>
    </w:rPr>
  </w:style>
  <w:style w:type="paragraph" w:customStyle="1" w:styleId="MiniTOCItem">
    <w:name w:val="MiniTOCItem"/>
    <w:basedOn w:val="ListBullet"/>
    <w:rsid w:val="00A06EC4"/>
    <w:pPr>
      <w:numPr>
        <w:numId w:val="0"/>
      </w:numPr>
      <w:tabs>
        <w:tab w:val="right" w:leader="dot" w:pos="6521"/>
      </w:tabs>
      <w:spacing w:before="0" w:after="0"/>
    </w:pPr>
  </w:style>
  <w:style w:type="paragraph" w:customStyle="1" w:styleId="TOFTitle">
    <w:name w:val="TOFTitle"/>
    <w:basedOn w:val="TOCTitle"/>
    <w:rsid w:val="00A06EC4"/>
  </w:style>
  <w:style w:type="paragraph" w:styleId="TableofFigures">
    <w:name w:val="table of figures"/>
    <w:basedOn w:val="Normal"/>
    <w:next w:val="Normal"/>
    <w:semiHidden/>
    <w:rsid w:val="00A06EC4"/>
    <w:pPr>
      <w:tabs>
        <w:tab w:val="right" w:leader="dot" w:pos="9072"/>
      </w:tabs>
      <w:ind w:left="970" w:hanging="403"/>
    </w:pPr>
    <w:rPr>
      <w:rFonts w:ascii="Times New Roman" w:hAnsi="Times New Roman"/>
      <w:b/>
    </w:rPr>
  </w:style>
  <w:style w:type="paragraph" w:styleId="ListNumber">
    <w:name w:val="List Number"/>
    <w:basedOn w:val="List"/>
    <w:rsid w:val="00A06EC4"/>
    <w:pPr>
      <w:numPr>
        <w:numId w:val="10"/>
      </w:numPr>
    </w:pPr>
  </w:style>
  <w:style w:type="character" w:customStyle="1" w:styleId="WingdingSymbols">
    <w:name w:val="Wingding Symbols"/>
    <w:rsid w:val="00A06EC4"/>
    <w:rPr>
      <w:rFonts w:ascii="Wingdings" w:hAnsi="Wingdings"/>
    </w:rPr>
  </w:style>
  <w:style w:type="paragraph" w:customStyle="1" w:styleId="TableHeading">
    <w:name w:val="Table Heading"/>
    <w:basedOn w:val="HeadingBase"/>
    <w:rsid w:val="00A06EC4"/>
    <w:pPr>
      <w:keepLines/>
      <w:pBdr>
        <w:bottom w:val="single" w:sz="6" w:space="1" w:color="918585"/>
      </w:pBdr>
      <w:spacing w:before="240"/>
    </w:pPr>
  </w:style>
  <w:style w:type="character" w:customStyle="1" w:styleId="HotSpot">
    <w:name w:val="HotSpot"/>
    <w:rsid w:val="00A06EC4"/>
    <w:rPr>
      <w:color w:val="0033CC"/>
      <w:u w:val="none"/>
    </w:rPr>
  </w:style>
  <w:style w:type="paragraph" w:customStyle="1" w:styleId="BodyTextRight">
    <w:name w:val="Body Text Right"/>
    <w:basedOn w:val="BodyText"/>
    <w:rsid w:val="00A06EC4"/>
    <w:pPr>
      <w:spacing w:before="0" w:after="0"/>
      <w:jc w:val="right"/>
    </w:pPr>
  </w:style>
  <w:style w:type="paragraph" w:styleId="Index3">
    <w:name w:val="index 3"/>
    <w:basedOn w:val="ListNumber2"/>
    <w:next w:val="Normal"/>
    <w:semiHidden/>
    <w:rsid w:val="00A06EC4"/>
    <w:pPr>
      <w:numPr>
        <w:numId w:val="0"/>
      </w:numPr>
      <w:tabs>
        <w:tab w:val="right" w:leader="dot" w:pos="4176"/>
      </w:tabs>
    </w:pPr>
  </w:style>
  <w:style w:type="paragraph" w:styleId="ListNumber2">
    <w:name w:val="List Number 2"/>
    <w:basedOn w:val="List2"/>
    <w:rsid w:val="00A06EC4"/>
    <w:pPr>
      <w:numPr>
        <w:numId w:val="9"/>
      </w:numPr>
      <w:tabs>
        <w:tab w:val="clear" w:pos="1060"/>
      </w:tabs>
    </w:pPr>
  </w:style>
  <w:style w:type="paragraph" w:customStyle="1" w:styleId="MarginNote">
    <w:name w:val="Margin Note"/>
    <w:basedOn w:val="BodyText"/>
    <w:rsid w:val="00A06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EC4"/>
    <w:rPr>
      <w:sz w:val="32"/>
    </w:rPr>
  </w:style>
  <w:style w:type="paragraph" w:customStyle="1" w:styleId="HeadingProcedure">
    <w:name w:val="Heading Procedure"/>
    <w:basedOn w:val="HeadingBase"/>
    <w:next w:val="Normal"/>
    <w:rsid w:val="00A06EC4"/>
    <w:pPr>
      <w:tabs>
        <w:tab w:val="left" w:pos="0"/>
      </w:tabs>
      <w:spacing w:before="120" w:after="60"/>
    </w:pPr>
    <w:rPr>
      <w:i/>
      <w:color w:val="918585"/>
      <w:sz w:val="22"/>
    </w:rPr>
  </w:style>
  <w:style w:type="paragraph" w:customStyle="1" w:styleId="TableBodyText">
    <w:name w:val="Table Body Text"/>
    <w:basedOn w:val="BodyText"/>
    <w:rsid w:val="00A06EC4"/>
    <w:pPr>
      <w:spacing w:before="60" w:after="60"/>
    </w:pPr>
  </w:style>
  <w:style w:type="paragraph" w:styleId="ListContinue">
    <w:name w:val="List Continue"/>
    <w:basedOn w:val="List"/>
    <w:rsid w:val="00A06EC4"/>
    <w:pPr>
      <w:ind w:firstLine="0"/>
    </w:pPr>
  </w:style>
  <w:style w:type="paragraph" w:customStyle="1" w:styleId="ListNote">
    <w:name w:val="List Note"/>
    <w:basedOn w:val="List"/>
    <w:rsid w:val="00A06EC4"/>
    <w:pPr>
      <w:pBdr>
        <w:top w:val="single" w:sz="6" w:space="2" w:color="918585"/>
        <w:bottom w:val="single" w:sz="6" w:space="2" w:color="918585"/>
      </w:pBdr>
      <w:tabs>
        <w:tab w:val="left" w:pos="1021"/>
      </w:tabs>
      <w:ind w:firstLine="0"/>
    </w:pPr>
  </w:style>
  <w:style w:type="paragraph" w:customStyle="1" w:styleId="Warning">
    <w:name w:val="Warning"/>
    <w:basedOn w:val="BodyText"/>
    <w:rsid w:val="00A06EC4"/>
    <w:pPr>
      <w:shd w:val="clear" w:color="auto" w:fill="D9D9D9"/>
      <w:tabs>
        <w:tab w:val="left" w:pos="992"/>
      </w:tabs>
      <w:ind w:left="119" w:right="119"/>
    </w:pPr>
    <w:rPr>
      <w:sz w:val="20"/>
    </w:rPr>
  </w:style>
  <w:style w:type="paragraph" w:customStyle="1" w:styleId="MarginIcons">
    <w:name w:val="Margin Icons"/>
    <w:basedOn w:val="BodyText"/>
    <w:rsid w:val="00A06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EC4"/>
    <w:rPr>
      <w:rFonts w:ascii="Courier New" w:hAnsi="Courier New"/>
    </w:rPr>
  </w:style>
  <w:style w:type="paragraph" w:customStyle="1" w:styleId="NoteBullet">
    <w:name w:val="Note Bullet"/>
    <w:basedOn w:val="Note"/>
    <w:rsid w:val="00A06EC4"/>
    <w:pPr>
      <w:tabs>
        <w:tab w:val="clear" w:pos="680"/>
      </w:tabs>
      <w:spacing w:before="60" w:after="60"/>
    </w:pPr>
  </w:style>
  <w:style w:type="paragraph" w:customStyle="1" w:styleId="SubHeading2">
    <w:name w:val="SubHeading2"/>
    <w:basedOn w:val="HeadingBase"/>
    <w:rsid w:val="00A06EC4"/>
    <w:pPr>
      <w:spacing w:before="240" w:after="60"/>
    </w:pPr>
    <w:rPr>
      <w:sz w:val="20"/>
    </w:rPr>
  </w:style>
  <w:style w:type="paragraph" w:customStyle="1" w:styleId="SubHeading1">
    <w:name w:val="SubHeading1"/>
    <w:basedOn w:val="HeadingBase"/>
    <w:rsid w:val="00A06EC4"/>
    <w:pPr>
      <w:spacing w:before="240" w:after="60"/>
    </w:pPr>
    <w:rPr>
      <w:color w:val="918585"/>
      <w:sz w:val="22"/>
    </w:rPr>
  </w:style>
  <w:style w:type="paragraph" w:customStyle="1" w:styleId="SideHeading">
    <w:name w:val="Side Heading"/>
    <w:basedOn w:val="HeadingBase"/>
    <w:rsid w:val="00A06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EC4"/>
    <w:pPr>
      <w:tabs>
        <w:tab w:val="num" w:pos="360"/>
      </w:tabs>
    </w:pPr>
  </w:style>
  <w:style w:type="paragraph" w:styleId="PlainText">
    <w:name w:val="Plain Text"/>
    <w:basedOn w:val="Normal"/>
    <w:link w:val="PlainTextChar"/>
    <w:rsid w:val="00A06EC4"/>
    <w:rPr>
      <w:sz w:val="20"/>
    </w:rPr>
  </w:style>
  <w:style w:type="character" w:customStyle="1" w:styleId="PlainTextChar">
    <w:name w:val="Plain Text Char"/>
    <w:basedOn w:val="DefaultParagraphFont"/>
    <w:link w:val="PlainText"/>
    <w:rsid w:val="00A06EC4"/>
    <w:rPr>
      <w:rFonts w:ascii="Courier New" w:eastAsia="Times New Roman" w:hAnsi="Courier New" w:cs="Times New Roman"/>
      <w:sz w:val="20"/>
      <w:szCs w:val="20"/>
      <w:lang w:eastAsia="en-US"/>
    </w:rPr>
  </w:style>
  <w:style w:type="character" w:customStyle="1" w:styleId="MenuOption">
    <w:name w:val="Menu Option"/>
    <w:basedOn w:val="DefaultParagraphFont"/>
    <w:rsid w:val="00A06EC4"/>
    <w:rPr>
      <w:b/>
      <w:smallCaps/>
    </w:rPr>
  </w:style>
  <w:style w:type="paragraph" w:customStyle="1" w:styleId="TableListNumber">
    <w:name w:val="Table List Number"/>
    <w:basedOn w:val="ListNumber"/>
    <w:rsid w:val="00A06EC4"/>
    <w:pPr>
      <w:numPr>
        <w:numId w:val="0"/>
      </w:numPr>
    </w:pPr>
  </w:style>
  <w:style w:type="paragraph" w:styleId="TOC4">
    <w:name w:val="toc 4"/>
    <w:basedOn w:val="TOCBase"/>
    <w:next w:val="Normal"/>
    <w:semiHidden/>
    <w:rsid w:val="00A06EC4"/>
    <w:pPr>
      <w:tabs>
        <w:tab w:val="right" w:leader="dot" w:pos="9071"/>
      </w:tabs>
      <w:ind w:left="1701"/>
    </w:pPr>
  </w:style>
  <w:style w:type="paragraph" w:customStyle="1" w:styleId="ListAlpha">
    <w:name w:val="List Alpha"/>
    <w:basedOn w:val="List"/>
    <w:rsid w:val="00A06EC4"/>
    <w:pPr>
      <w:numPr>
        <w:numId w:val="8"/>
      </w:numPr>
    </w:pPr>
  </w:style>
  <w:style w:type="paragraph" w:customStyle="1" w:styleId="ListAlpha2">
    <w:name w:val="List Alpha 2"/>
    <w:basedOn w:val="List2"/>
    <w:rsid w:val="00A06EC4"/>
    <w:pPr>
      <w:numPr>
        <w:numId w:val="7"/>
      </w:numPr>
    </w:pPr>
  </w:style>
  <w:style w:type="paragraph" w:styleId="List2">
    <w:name w:val="List 2"/>
    <w:basedOn w:val="BodyText"/>
    <w:rsid w:val="00A06EC4"/>
    <w:pPr>
      <w:tabs>
        <w:tab w:val="left" w:pos="680"/>
      </w:tabs>
      <w:spacing w:before="60" w:after="60"/>
      <w:ind w:left="680" w:hanging="340"/>
    </w:pPr>
  </w:style>
  <w:style w:type="paragraph" w:styleId="List3">
    <w:name w:val="List 3"/>
    <w:basedOn w:val="BodyText"/>
    <w:rsid w:val="00A06EC4"/>
    <w:pPr>
      <w:tabs>
        <w:tab w:val="left" w:pos="1021"/>
      </w:tabs>
      <w:spacing w:before="60" w:after="60"/>
      <w:ind w:left="1020" w:hanging="340"/>
    </w:pPr>
  </w:style>
  <w:style w:type="paragraph" w:styleId="List4">
    <w:name w:val="List 4"/>
    <w:basedOn w:val="BodyText"/>
    <w:rsid w:val="00A06EC4"/>
    <w:pPr>
      <w:tabs>
        <w:tab w:val="left" w:pos="1361"/>
      </w:tabs>
      <w:spacing w:before="60" w:after="60"/>
      <w:ind w:left="1361" w:hanging="340"/>
    </w:pPr>
  </w:style>
  <w:style w:type="paragraph" w:styleId="List5">
    <w:name w:val="List 5"/>
    <w:basedOn w:val="BodyText"/>
    <w:rsid w:val="00A06EC4"/>
    <w:pPr>
      <w:tabs>
        <w:tab w:val="left" w:pos="1701"/>
      </w:tabs>
      <w:spacing w:before="60" w:after="60"/>
      <w:ind w:left="1701" w:hanging="340"/>
    </w:pPr>
  </w:style>
  <w:style w:type="paragraph" w:styleId="ListBullet3">
    <w:name w:val="List Bullet 3"/>
    <w:basedOn w:val="List3"/>
    <w:rsid w:val="00A06EC4"/>
    <w:pPr>
      <w:numPr>
        <w:numId w:val="14"/>
      </w:numPr>
      <w:tabs>
        <w:tab w:val="clear" w:pos="1021"/>
      </w:tabs>
      <w:ind w:left="1037" w:hanging="357"/>
    </w:pPr>
  </w:style>
  <w:style w:type="paragraph" w:styleId="ListBullet4">
    <w:name w:val="List Bullet 4"/>
    <w:basedOn w:val="List4"/>
    <w:rsid w:val="00A06EC4"/>
    <w:pPr>
      <w:numPr>
        <w:numId w:val="2"/>
      </w:numPr>
    </w:pPr>
  </w:style>
  <w:style w:type="paragraph" w:styleId="ListBullet5">
    <w:name w:val="List Bullet 5"/>
    <w:basedOn w:val="List5"/>
    <w:rsid w:val="00A06EC4"/>
    <w:pPr>
      <w:numPr>
        <w:numId w:val="3"/>
      </w:numPr>
    </w:pPr>
  </w:style>
  <w:style w:type="paragraph" w:styleId="ListContinue2">
    <w:name w:val="List Continue 2"/>
    <w:basedOn w:val="List2"/>
    <w:rsid w:val="00A06EC4"/>
    <w:pPr>
      <w:ind w:firstLine="0"/>
    </w:pPr>
  </w:style>
  <w:style w:type="paragraph" w:styleId="ListContinue3">
    <w:name w:val="List Continue 3"/>
    <w:basedOn w:val="List3"/>
    <w:rsid w:val="00A06EC4"/>
    <w:pPr>
      <w:ind w:left="1021" w:firstLine="0"/>
    </w:pPr>
  </w:style>
  <w:style w:type="paragraph" w:styleId="ListContinue4">
    <w:name w:val="List Continue 4"/>
    <w:basedOn w:val="List4"/>
    <w:rsid w:val="00A06EC4"/>
    <w:pPr>
      <w:ind w:firstLine="0"/>
    </w:pPr>
  </w:style>
  <w:style w:type="paragraph" w:styleId="ListContinue5">
    <w:name w:val="List Continue 5"/>
    <w:basedOn w:val="List5"/>
    <w:rsid w:val="00A06EC4"/>
    <w:pPr>
      <w:ind w:firstLine="0"/>
    </w:pPr>
  </w:style>
  <w:style w:type="paragraph" w:styleId="ListNumber3">
    <w:name w:val="List Number 3"/>
    <w:basedOn w:val="List3"/>
    <w:rsid w:val="00A06EC4"/>
    <w:pPr>
      <w:numPr>
        <w:numId w:val="4"/>
      </w:numPr>
    </w:pPr>
  </w:style>
  <w:style w:type="paragraph" w:styleId="ListNumber4">
    <w:name w:val="List Number 4"/>
    <w:basedOn w:val="List4"/>
    <w:rsid w:val="00A06EC4"/>
    <w:pPr>
      <w:numPr>
        <w:numId w:val="5"/>
      </w:numPr>
    </w:pPr>
  </w:style>
  <w:style w:type="paragraph" w:styleId="ListNumber5">
    <w:name w:val="List Number 5"/>
    <w:basedOn w:val="List5"/>
    <w:rsid w:val="00A06EC4"/>
    <w:pPr>
      <w:numPr>
        <w:numId w:val="6"/>
      </w:numPr>
    </w:pPr>
  </w:style>
  <w:style w:type="paragraph" w:styleId="BlockText">
    <w:name w:val="Block Text"/>
    <w:basedOn w:val="Normal"/>
    <w:rsid w:val="00A06EC4"/>
    <w:pPr>
      <w:spacing w:after="120"/>
      <w:ind w:left="1440" w:right="1440"/>
    </w:pPr>
  </w:style>
  <w:style w:type="character" w:customStyle="1" w:styleId="Subscript">
    <w:name w:val="Subscript"/>
    <w:basedOn w:val="DefaultParagraphFont"/>
    <w:rsid w:val="00A06EC4"/>
    <w:rPr>
      <w:sz w:val="16"/>
      <w:vertAlign w:val="subscript"/>
    </w:rPr>
  </w:style>
  <w:style w:type="character" w:customStyle="1" w:styleId="Superscript">
    <w:name w:val="Superscript"/>
    <w:basedOn w:val="DefaultParagraphFont"/>
    <w:rsid w:val="00A06EC4"/>
    <w:rPr>
      <w:sz w:val="16"/>
      <w:vertAlign w:val="superscript"/>
    </w:rPr>
  </w:style>
  <w:style w:type="character" w:customStyle="1" w:styleId="Symbols">
    <w:name w:val="Symbols"/>
    <w:basedOn w:val="DefaultParagraphFont"/>
    <w:rsid w:val="00A06EC4"/>
    <w:rPr>
      <w:rFonts w:ascii="Symbol" w:hAnsi="Symbol"/>
    </w:rPr>
  </w:style>
  <w:style w:type="character" w:customStyle="1" w:styleId="MenuOptions">
    <w:name w:val="Menu Options"/>
    <w:basedOn w:val="DefaultParagraphFont"/>
    <w:rsid w:val="00A06EC4"/>
    <w:rPr>
      <w:rFonts w:ascii="Arial Narrow" w:hAnsi="Arial Narrow"/>
      <w:smallCaps/>
    </w:rPr>
  </w:style>
  <w:style w:type="character" w:customStyle="1" w:styleId="Buttons">
    <w:name w:val="Buttons"/>
    <w:basedOn w:val="DefaultParagraphFont"/>
    <w:rsid w:val="00A06EC4"/>
    <w:rPr>
      <w:b/>
    </w:rPr>
  </w:style>
  <w:style w:type="character" w:customStyle="1" w:styleId="Underlined">
    <w:name w:val="Underlined"/>
    <w:basedOn w:val="DefaultParagraphFont"/>
    <w:rsid w:val="00A06EC4"/>
    <w:rPr>
      <w:u w:val="single"/>
    </w:rPr>
  </w:style>
  <w:style w:type="paragraph" w:customStyle="1" w:styleId="TableBodyTextRight">
    <w:name w:val="Table Body Text Right"/>
    <w:basedOn w:val="TableBodyText"/>
    <w:rsid w:val="00A06EC4"/>
    <w:pPr>
      <w:widowControl w:val="0"/>
      <w:autoSpaceDE w:val="0"/>
      <w:autoSpaceDN w:val="0"/>
      <w:adjustRightInd w:val="0"/>
      <w:jc w:val="right"/>
    </w:pPr>
    <w:rPr>
      <w:rFonts w:cs="Arial"/>
      <w:szCs w:val="18"/>
    </w:rPr>
  </w:style>
  <w:style w:type="paragraph" w:customStyle="1" w:styleId="CopyrightText">
    <w:name w:val="Copyright Text"/>
    <w:basedOn w:val="BodyText"/>
    <w:rsid w:val="00A06EC4"/>
    <w:rPr>
      <w:sz w:val="18"/>
    </w:rPr>
  </w:style>
  <w:style w:type="paragraph" w:customStyle="1" w:styleId="BodySmallRight">
    <w:name w:val="Body Small Right"/>
    <w:basedOn w:val="BodyTextRight"/>
    <w:rsid w:val="00A06EC4"/>
    <w:rPr>
      <w:sz w:val="18"/>
      <w:szCs w:val="18"/>
    </w:rPr>
  </w:style>
  <w:style w:type="paragraph" w:customStyle="1" w:styleId="MarginEdition">
    <w:name w:val="Margin Edition"/>
    <w:basedOn w:val="MarginNote"/>
    <w:rsid w:val="00A06EC4"/>
    <w:pPr>
      <w:spacing w:before="0" w:after="0"/>
    </w:pPr>
    <w:rPr>
      <w:rFonts w:ascii="Times New Roman" w:hAnsi="Times New Roman"/>
      <w:color w:val="999999"/>
    </w:rPr>
  </w:style>
  <w:style w:type="paragraph" w:customStyle="1" w:styleId="Spacer">
    <w:name w:val="Spacer"/>
    <w:basedOn w:val="Normal"/>
    <w:rsid w:val="00A06EC4"/>
    <w:rPr>
      <w:sz w:val="2"/>
      <w:szCs w:val="2"/>
    </w:rPr>
  </w:style>
  <w:style w:type="character" w:customStyle="1" w:styleId="Small">
    <w:name w:val="Small"/>
    <w:basedOn w:val="DefaultParagraphFont"/>
    <w:rsid w:val="00A06EC4"/>
    <w:rPr>
      <w:sz w:val="16"/>
    </w:rPr>
  </w:style>
  <w:style w:type="paragraph" w:customStyle="1" w:styleId="WideTable">
    <w:name w:val="Wide Table"/>
    <w:basedOn w:val="Normal"/>
    <w:rsid w:val="00A06EC4"/>
    <w:pPr>
      <w:ind w:left="-1418"/>
    </w:pPr>
    <w:rPr>
      <w:sz w:val="2"/>
      <w:szCs w:val="2"/>
    </w:rPr>
  </w:style>
  <w:style w:type="character" w:styleId="PageNumber">
    <w:name w:val="page number"/>
    <w:basedOn w:val="DefaultParagraphFont"/>
    <w:rsid w:val="00A06EC4"/>
  </w:style>
  <w:style w:type="paragraph" w:styleId="Quote">
    <w:name w:val="Quote"/>
    <w:basedOn w:val="Heading1"/>
    <w:link w:val="QuoteChar"/>
    <w:qFormat/>
    <w:rsid w:val="00A06EC4"/>
    <w:rPr>
      <w:b w:val="0"/>
      <w:sz w:val="72"/>
      <w:szCs w:val="72"/>
      <w:lang w:val="en-NZ"/>
    </w:rPr>
  </w:style>
  <w:style w:type="character" w:customStyle="1" w:styleId="QuoteChar">
    <w:name w:val="Quote Char"/>
    <w:basedOn w:val="DefaultParagraphFont"/>
    <w:link w:val="Quote"/>
    <w:rsid w:val="00A06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EC4"/>
    <w:pPr>
      <w:pageBreakBefore/>
    </w:pPr>
  </w:style>
  <w:style w:type="paragraph" w:customStyle="1" w:styleId="Border">
    <w:name w:val="Border"/>
    <w:basedOn w:val="Normal"/>
    <w:qFormat/>
    <w:rsid w:val="00A06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EC4"/>
    <w:rPr>
      <w:b/>
      <w:bCs/>
      <w:i/>
      <w:iCs/>
      <w:color w:val="auto"/>
    </w:rPr>
  </w:style>
  <w:style w:type="paragraph" w:styleId="IntenseQuote">
    <w:name w:val="Intense Quote"/>
    <w:basedOn w:val="Normal"/>
    <w:next w:val="Normal"/>
    <w:link w:val="IntenseQuoteChar"/>
    <w:uiPriority w:val="30"/>
    <w:qFormat/>
    <w:rsid w:val="00A06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EC4"/>
    <w:rPr>
      <w:smallCaps/>
      <w:color w:val="auto"/>
      <w:u w:val="single"/>
    </w:rPr>
  </w:style>
  <w:style w:type="character" w:styleId="IntenseReference">
    <w:name w:val="Intense Reference"/>
    <w:basedOn w:val="DefaultParagraphFont"/>
    <w:uiPriority w:val="32"/>
    <w:qFormat/>
    <w:rsid w:val="00A06EC4"/>
    <w:rPr>
      <w:b/>
      <w:bCs/>
      <w:smallCaps/>
      <w:color w:val="auto"/>
      <w:spacing w:val="5"/>
      <w:u w:val="single"/>
    </w:rPr>
  </w:style>
  <w:style w:type="paragraph" w:customStyle="1" w:styleId="2ColumnHeading">
    <w:name w:val="2Column Heading"/>
    <w:basedOn w:val="BodyText"/>
    <w:qFormat/>
    <w:rsid w:val="00A06EC4"/>
    <w:pPr>
      <w:spacing w:after="60"/>
      <w:ind w:left="-2268"/>
    </w:pPr>
    <w:rPr>
      <w:b/>
    </w:rPr>
  </w:style>
  <w:style w:type="paragraph" w:customStyle="1" w:styleId="Heading1TOC">
    <w:name w:val="Heading1 TOC"/>
    <w:basedOn w:val="Normal"/>
    <w:qFormat/>
    <w:rsid w:val="00A06EC4"/>
    <w:pPr>
      <w:spacing w:before="240" w:after="120"/>
    </w:pPr>
    <w:rPr>
      <w:rFonts w:ascii="Times New Roman" w:hAnsi="Times New Roman"/>
      <w:b/>
      <w:sz w:val="32"/>
    </w:rPr>
  </w:style>
  <w:style w:type="paragraph" w:customStyle="1" w:styleId="Heading2TOC">
    <w:name w:val="Heading2 TOC"/>
    <w:basedOn w:val="Normal"/>
    <w:qFormat/>
    <w:rsid w:val="00A06EC4"/>
    <w:pPr>
      <w:spacing w:before="240" w:after="60"/>
    </w:pPr>
    <w:rPr>
      <w:rFonts w:ascii="Times New Roman" w:hAnsi="Times New Roman"/>
      <w:b/>
      <w:sz w:val="28"/>
    </w:rPr>
  </w:style>
  <w:style w:type="character" w:customStyle="1" w:styleId="Underline">
    <w:name w:val="Underline"/>
    <w:basedOn w:val="DefaultParagraphFont"/>
    <w:qFormat/>
    <w:rsid w:val="00A06EC4"/>
    <w:rPr>
      <w:u w:val="single"/>
    </w:rPr>
  </w:style>
  <w:style w:type="paragraph" w:styleId="BalloonText">
    <w:name w:val="Balloon Text"/>
    <w:basedOn w:val="Normal"/>
    <w:link w:val="BalloonTextChar"/>
    <w:rsid w:val="00A06EC4"/>
    <w:rPr>
      <w:rFonts w:ascii="Tahoma" w:hAnsi="Tahoma" w:cs="Tahoma"/>
      <w:sz w:val="16"/>
      <w:szCs w:val="16"/>
    </w:rPr>
  </w:style>
  <w:style w:type="character" w:customStyle="1" w:styleId="BalloonTextChar">
    <w:name w:val="Balloon Text Char"/>
    <w:basedOn w:val="DefaultParagraphFont"/>
    <w:link w:val="BalloonText"/>
    <w:rsid w:val="00A06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E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EC4"/>
    <w:rPr>
      <w:b/>
      <w:color w:val="660033"/>
      <w:spacing w:val="0"/>
    </w:rPr>
  </w:style>
  <w:style w:type="paragraph" w:customStyle="1" w:styleId="Nameditemlist">
    <w:name w:val="Named item list"/>
    <w:basedOn w:val="BodyText"/>
    <w:qFormat/>
    <w:rsid w:val="00A06E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1231</Words>
  <Characters>8133</Characters>
  <Application>Microsoft Office Word</Application>
  <DocSecurity>0</DocSecurity>
  <Lines>272</Lines>
  <Paragraphs>153</Paragraphs>
  <ScaleCrop>false</ScaleCrop>
  <Company>Author-it Software Corporation Ltd.</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DEFEO101D Work safely with explosive ordnance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2013-01-24T03:16:00Z</dcterms:created>
  <dcterms:modified xsi:type="dcterms:W3CDTF">2013-01-24T03:16:00Z</dcterms:modified>
</cp:coreProperties>
</file>