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FD6" w:rsidP="00CE4FD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DEFEA002 Demonstrate compliance with an enterprise architecture framework</w:t>
      </w:r>
      <w:r>
        <w:fldChar w:fldCharType="end"/>
      </w:r>
    </w:p>
    <w:p w:rsidR="00CE4FD6" w:rsidP="00CE4FD6">
      <w:pPr>
        <w:pStyle w:val="Version"/>
        <w:sectPr w:rsidSect="00653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6F6" w:rsidP="006536F6">
      <w:pPr>
        <w:pStyle w:val="SuperHeading"/>
      </w:pPr>
      <w:r w:rsidRPr="006536F6">
        <w:t>DEFEA002 Demonstrate compliance with an enterprise architecture framework</w:t>
      </w:r>
    </w:p>
    <w:p w:rsidR="00000000" w:rsidRPr="006536F6" w:rsidP="006536F6">
      <w:pPr>
        <w:pStyle w:val="Heading1"/>
      </w:pPr>
      <w:bookmarkStart w:id="1" w:name="O_517913"/>
      <w:bookmarkEnd w:id="1"/>
      <w:r w:rsidRPr="006536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E4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TableBodyText"/>
            </w:pPr>
            <w:r w:rsidRPr="006536F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TableBodyText"/>
            </w:pPr>
            <w:r w:rsidRPr="006536F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TableBodyText"/>
              <w:rPr>
                <w:lang w:val="en-NZ"/>
              </w:rPr>
            </w:pPr>
            <w:r w:rsidRPr="006536F6">
              <w:rPr>
                <w:rStyle w:val="SpecialBold"/>
              </w:rPr>
              <w:t>Comments</w:t>
            </w:r>
          </w:p>
        </w:tc>
      </w:tr>
      <w:tr w:rsidTr="00CE4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TableBodyText"/>
              <w:rPr>
                <w:lang w:val="en-NZ"/>
              </w:rPr>
            </w:pPr>
            <w:r w:rsidRPr="006536F6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TableBodyText"/>
              <w:rPr>
                <w:lang w:val="en-NZ"/>
              </w:rPr>
            </w:pPr>
            <w:r w:rsidRPr="006536F6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TableBodyText"/>
              <w:rPr>
                <w:lang w:val="en-NZ"/>
              </w:rPr>
            </w:pPr>
            <w:r w:rsidRPr="006536F6">
              <w:t xml:space="preserve">New unit.  </w:t>
            </w:r>
          </w:p>
        </w:tc>
      </w:tr>
      <w:tr w:rsidTr="00CE4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TableBodyText"/>
              <w:rPr>
                <w:lang w:val="en-NZ"/>
              </w:rPr>
            </w:pPr>
            <w:r w:rsidRPr="006536F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TableBodyText"/>
              <w:rPr>
                <w:lang w:val="en-NZ"/>
              </w:rPr>
            </w:pPr>
            <w:r w:rsidRPr="006536F6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TableBodyText"/>
            </w:pPr>
            <w:r w:rsidRPr="006536F6">
              <w:t xml:space="preserve">Primary release. </w:t>
            </w:r>
          </w:p>
        </w:tc>
      </w:tr>
    </w:tbl>
    <w:p w:rsidR="00CE4FD6" w:rsidP="006536F6">
      <w:pPr>
        <w:pStyle w:val="TableBodyText"/>
      </w:pPr>
    </w:p>
    <w:p w:rsidR="00CE4FD6" w:rsidP="006536F6">
      <w:pPr>
        <w:pStyle w:val="TableBodyText"/>
      </w:pPr>
    </w:p>
    <w:p w:rsidR="00000000" w:rsidRPr="006536F6" w:rsidP="006536F6">
      <w:pPr>
        <w:pStyle w:val="Heading1"/>
      </w:pPr>
      <w:bookmarkStart w:id="2" w:name="O_517914"/>
      <w:bookmarkEnd w:id="2"/>
      <w:r w:rsidRPr="006536F6">
        <w:t>Unit Descriptor</w:t>
      </w:r>
    </w:p>
    <w:p w:rsidR="00000000" w:rsidRPr="006536F6" w:rsidP="006536F6">
      <w:pPr>
        <w:pStyle w:val="BodyText"/>
      </w:pPr>
      <w:r w:rsidRPr="006536F6">
        <w:t>This unit covers use of a compliance matrix to demonstrate that an organisation is operating within an established enterprise architecture framework. It includes measuring conformity with the framework, verifying compliance, and acting on compliance result</w:t>
      </w:r>
      <w:r w:rsidRPr="006536F6">
        <w:t xml:space="preserve">s. </w:t>
      </w:r>
    </w:p>
    <w:p w:rsidR="00CE4FD6" w:rsidP="006536F6">
      <w:pPr>
        <w:pStyle w:val="BodyText"/>
      </w:pPr>
      <w:r w:rsidRPr="006536F6">
        <w:t xml:space="preserve">No licensing, legislative, regulatory or certification requirements apply to this unit at the time of publication. In a Defence context, this means that there is no civilian need to hold this unit in order to meet licensing, legislative, regulatory or </w:t>
      </w:r>
      <w:r w:rsidRPr="006536F6">
        <w:t>certification requirements.</w:t>
      </w:r>
    </w:p>
    <w:p w:rsidR="00CE4FD6" w:rsidP="006536F6">
      <w:pPr>
        <w:pStyle w:val="BodyText"/>
      </w:pPr>
    </w:p>
    <w:p w:rsidR="00000000" w:rsidRPr="006536F6" w:rsidP="006536F6">
      <w:pPr>
        <w:pStyle w:val="Heading1"/>
      </w:pPr>
      <w:bookmarkStart w:id="3" w:name="O_517915"/>
      <w:bookmarkEnd w:id="3"/>
      <w:r w:rsidRPr="006536F6">
        <w:t>Application of the Unit</w:t>
      </w:r>
    </w:p>
    <w:p w:rsidR="00000000" w:rsidRPr="006536F6" w:rsidP="006536F6">
      <w:pPr>
        <w:pStyle w:val="BodyText"/>
      </w:pPr>
      <w:r w:rsidRPr="006536F6">
        <w:t>In practice, demonstrating compliance with an enterprise architecture framework may overlap with other generalist or specialist public sector work activities such as acting ethically and</w:t>
      </w:r>
      <w:r w:rsidRPr="006536F6">
        <w:t xml:space="preserve"> complying with legislation.</w:t>
      </w:r>
    </w:p>
    <w:p w:rsidR="00000000" w:rsidRPr="006536F6" w:rsidP="006536F6">
      <w:pPr>
        <w:pStyle w:val="BodyText"/>
      </w:pPr>
      <w:r w:rsidRPr="006536F6">
        <w:t>All aspects of the unit must be carried out in adherence to legislation, relevant standards, and organisational policy, procedure, and guidelines.</w:t>
      </w:r>
    </w:p>
    <w:p w:rsidR="00000000" w:rsidRPr="006536F6" w:rsidP="006536F6">
      <w:pPr>
        <w:pStyle w:val="AllowPageBreak"/>
      </w:pPr>
    </w:p>
    <w:p w:rsidR="00000000" w:rsidRPr="006536F6" w:rsidP="006536F6">
      <w:pPr>
        <w:pStyle w:val="Heading1"/>
      </w:pPr>
      <w:bookmarkStart w:id="4" w:name="O_517916"/>
      <w:bookmarkEnd w:id="4"/>
      <w:r w:rsidRPr="006536F6">
        <w:t>Licensing/Regulatory Information</w:t>
      </w:r>
    </w:p>
    <w:p w:rsidR="00000000" w:rsidRPr="006536F6" w:rsidP="006536F6">
      <w:pPr>
        <w:pStyle w:val="BodyText"/>
      </w:pPr>
      <w:r w:rsidRPr="006536F6">
        <w:t>Not applicable.</w:t>
      </w:r>
    </w:p>
    <w:p w:rsidR="00000000" w:rsidRPr="006536F6" w:rsidP="006536F6">
      <w:pPr>
        <w:pStyle w:val="AllowPageBreak"/>
      </w:pPr>
    </w:p>
    <w:p w:rsidR="00000000" w:rsidRPr="006536F6" w:rsidP="006536F6">
      <w:pPr>
        <w:pStyle w:val="Heading1"/>
      </w:pPr>
      <w:bookmarkStart w:id="5" w:name="O_517917"/>
      <w:bookmarkEnd w:id="5"/>
      <w:r w:rsidRPr="006536F6">
        <w:t>Pre-Requisites</w:t>
      </w:r>
    </w:p>
    <w:p w:rsidR="00000000" w:rsidRPr="006536F6" w:rsidP="006536F6">
      <w:pPr>
        <w:pStyle w:val="BodyText"/>
      </w:pPr>
      <w:r w:rsidRPr="006536F6">
        <w:t>Not applicable.</w:t>
      </w:r>
    </w:p>
    <w:p w:rsidR="00000000" w:rsidRPr="006536F6" w:rsidP="006536F6">
      <w:pPr>
        <w:pStyle w:val="AllowPageBreak"/>
      </w:pPr>
    </w:p>
    <w:p w:rsidR="00000000" w:rsidRPr="006536F6" w:rsidP="006536F6">
      <w:pPr>
        <w:pStyle w:val="Heading1"/>
      </w:pPr>
      <w:bookmarkStart w:id="6" w:name="O_517918"/>
      <w:bookmarkEnd w:id="6"/>
      <w:r w:rsidRPr="006536F6">
        <w:t>Employability Skills Information</w:t>
      </w:r>
    </w:p>
    <w:p w:rsidR="00000000" w:rsidRPr="006536F6" w:rsidP="006536F6">
      <w:pPr>
        <w:pStyle w:val="BodyText"/>
      </w:pPr>
      <w:r w:rsidRPr="006536F6">
        <w:t>This unit contains employability skills.</w:t>
      </w:r>
    </w:p>
    <w:p w:rsidR="00000000" w:rsidRPr="006536F6" w:rsidP="006536F6">
      <w:pPr>
        <w:pStyle w:val="AllowPageBreak"/>
      </w:pPr>
    </w:p>
    <w:p w:rsidR="00000000" w:rsidRPr="006536F6" w:rsidP="006536F6">
      <w:pPr>
        <w:pStyle w:val="Heading1"/>
      </w:pPr>
      <w:bookmarkStart w:id="7" w:name="O_517919"/>
      <w:bookmarkEnd w:id="7"/>
      <w:r w:rsidRPr="006536F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5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BodyText"/>
              <w:rPr>
                <w:lang w:val="en-NZ"/>
              </w:rPr>
            </w:pPr>
            <w:r w:rsidRPr="006536F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BodyText"/>
            </w:pPr>
            <w:r w:rsidRPr="006536F6">
              <w:t xml:space="preserve">Performance Criteria describe the required performance needed to demonstrate achievement of the element. Where </w:t>
            </w:r>
            <w:r w:rsidRPr="006536F6">
              <w:rPr>
                <w:rStyle w:val="BoldandItalics"/>
              </w:rPr>
              <w:t>bold italicised</w:t>
            </w:r>
            <w:r w:rsidRPr="006536F6">
              <w:t xml:space="preserve"> text is used, further information is detailed in the Range Statement. Assessment of performance is to be consistent with the Evid</w:t>
            </w:r>
            <w:r w:rsidRPr="006536F6">
              <w:t>ence Guide.</w:t>
            </w:r>
          </w:p>
        </w:tc>
      </w:tr>
    </w:tbl>
    <w:p w:rsidR="00000000" w:rsidRPr="006536F6" w:rsidP="006536F6">
      <w:pPr>
        <w:pStyle w:val="BodyText"/>
      </w:pPr>
    </w:p>
    <w:p w:rsidR="00000000" w:rsidRPr="006536F6" w:rsidP="006536F6">
      <w:pPr>
        <w:pStyle w:val="AllowPageBreak"/>
      </w:pPr>
    </w:p>
    <w:p w:rsidR="00000000" w:rsidRPr="006536F6" w:rsidP="006536F6">
      <w:pPr>
        <w:pStyle w:val="Heading1"/>
      </w:pPr>
      <w:bookmarkStart w:id="8" w:name="O_517920"/>
      <w:bookmarkEnd w:id="8"/>
      <w:r w:rsidRPr="006536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4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BodyText"/>
            </w:pPr>
            <w:r w:rsidRPr="006536F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BodyText"/>
              <w:rPr>
                <w:lang w:val="en-NZ"/>
              </w:rPr>
            </w:pPr>
            <w:r w:rsidRPr="006536F6">
              <w:rPr>
                <w:rStyle w:val="SpecialBold"/>
              </w:rPr>
              <w:t>PERFORMANCE CRITERIA</w:t>
            </w:r>
          </w:p>
        </w:tc>
      </w:tr>
      <w:tr w:rsidTr="00CE4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List"/>
              <w:rPr>
                <w:lang w:val="en-NZ"/>
              </w:rPr>
            </w:pPr>
            <w:r w:rsidRPr="006536F6">
              <w:t>1.</w:t>
            </w:r>
            <w:r w:rsidRPr="006536F6">
              <w:tab/>
            </w:r>
            <w:r w:rsidRPr="006536F6">
              <w:rPr>
                <w:rStyle w:val="SpecialBold"/>
              </w:rPr>
              <w:t>Measure conformity with enterprise architecture framework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List"/>
            </w:pPr>
            <w:r w:rsidRPr="006536F6">
              <w:t>1.1</w:t>
            </w:r>
            <w:r w:rsidRPr="006536F6">
              <w:tab/>
              <w:t xml:space="preserve">Compliance </w:t>
            </w:r>
            <w:r w:rsidRPr="006536F6">
              <w:rPr>
                <w:rStyle w:val="BoldandItalics"/>
              </w:rPr>
              <w:t>business process</w:t>
            </w:r>
            <w:r w:rsidRPr="006536F6">
              <w:t xml:space="preserve"> is applied.</w:t>
            </w:r>
          </w:p>
          <w:p w:rsidR="00000000" w:rsidRPr="006536F6" w:rsidP="006536F6">
            <w:pPr>
              <w:pStyle w:val="List"/>
            </w:pPr>
            <w:r w:rsidRPr="006536F6">
              <w:t>1.2</w:t>
            </w:r>
            <w:r w:rsidRPr="006536F6">
              <w:tab/>
            </w:r>
            <w:r w:rsidRPr="006536F6">
              <w:t>Compliance matrix is used to measure conformity with established enterprise architecture framework.</w:t>
            </w:r>
          </w:p>
          <w:p w:rsidR="00000000" w:rsidRPr="006536F6" w:rsidP="006536F6">
            <w:pPr>
              <w:pStyle w:val="List"/>
            </w:pPr>
            <w:r w:rsidRPr="006536F6">
              <w:t>1.3</w:t>
            </w:r>
            <w:r w:rsidRPr="006536F6">
              <w:tab/>
              <w:t>Staff are assisted to complete matrix accurately.</w:t>
            </w:r>
          </w:p>
          <w:p w:rsidR="00000000" w:rsidP="006536F6">
            <w:pPr>
              <w:pStyle w:val="List"/>
              <w:rPr>
                <w:lang w:val="en-NZ"/>
              </w:rPr>
            </w:pPr>
            <w:r w:rsidRPr="006536F6">
              <w:t>1.4</w:t>
            </w:r>
            <w:r w:rsidRPr="006536F6">
              <w:tab/>
              <w:t>Emerging difficulties are resolved.</w:t>
            </w:r>
          </w:p>
        </w:tc>
      </w:tr>
      <w:tr w:rsidTr="00CE4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List"/>
              <w:rPr>
                <w:lang w:val="en-NZ"/>
              </w:rPr>
            </w:pPr>
            <w:r w:rsidRPr="006536F6">
              <w:t>2.</w:t>
            </w:r>
            <w:r w:rsidRPr="006536F6">
              <w:tab/>
            </w:r>
            <w:r w:rsidRPr="006536F6">
              <w:rPr>
                <w:rStyle w:val="SpecialBold"/>
              </w:rPr>
              <w:t>Verify compliance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List"/>
            </w:pPr>
            <w:r w:rsidRPr="006536F6">
              <w:t>2.1</w:t>
            </w:r>
            <w:r w:rsidRPr="006536F6">
              <w:tab/>
            </w:r>
            <w:r w:rsidRPr="006536F6">
              <w:t>Compliance matrix results are mapped against enterprise architecture framework.</w:t>
            </w:r>
          </w:p>
          <w:p w:rsidR="00000000" w:rsidRPr="006536F6" w:rsidP="006536F6">
            <w:pPr>
              <w:pStyle w:val="List"/>
            </w:pPr>
            <w:r w:rsidRPr="006536F6">
              <w:t>2.2</w:t>
            </w:r>
            <w:r w:rsidRPr="006536F6">
              <w:tab/>
              <w:t>Degree of compliance with enterprise architecture framework is verified.</w:t>
            </w:r>
          </w:p>
          <w:p w:rsidR="00000000" w:rsidP="006536F6">
            <w:pPr>
              <w:pStyle w:val="List"/>
              <w:rPr>
                <w:lang w:val="en-NZ"/>
              </w:rPr>
            </w:pPr>
            <w:r w:rsidRPr="006536F6">
              <w:t>2.3</w:t>
            </w:r>
            <w:r w:rsidRPr="006536F6">
              <w:tab/>
              <w:t>Areas of non-compliance are identified and recorded.</w:t>
            </w:r>
          </w:p>
        </w:tc>
      </w:tr>
      <w:tr w:rsidTr="00CE4F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List"/>
              <w:rPr>
                <w:lang w:val="en-NZ"/>
              </w:rPr>
            </w:pPr>
            <w:r w:rsidRPr="006536F6">
              <w:t>3.</w:t>
            </w:r>
            <w:r w:rsidRPr="006536F6">
              <w:tab/>
            </w:r>
            <w:r w:rsidRPr="006536F6">
              <w:rPr>
                <w:rStyle w:val="SpecialBold"/>
              </w:rPr>
              <w:t>Act on compliance results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List"/>
            </w:pPr>
            <w:r w:rsidRPr="006536F6">
              <w:t>3.1</w:t>
            </w:r>
            <w:r w:rsidRPr="006536F6">
              <w:tab/>
              <w:t>Complian</w:t>
            </w:r>
            <w:r w:rsidRPr="006536F6">
              <w:t>ce documentation is prepared in accordance with organisational procedures.</w:t>
            </w:r>
          </w:p>
          <w:p w:rsidR="00000000" w:rsidRPr="006536F6" w:rsidP="006536F6">
            <w:pPr>
              <w:pStyle w:val="List"/>
            </w:pPr>
            <w:r w:rsidRPr="006536F6">
              <w:t>3.2</w:t>
            </w:r>
            <w:r w:rsidRPr="006536F6">
              <w:tab/>
              <w:t>Results of compliance matrix audit are reported.</w:t>
            </w:r>
          </w:p>
          <w:p w:rsidR="00000000" w:rsidRPr="006536F6" w:rsidP="006536F6">
            <w:pPr>
              <w:pStyle w:val="List"/>
            </w:pPr>
            <w:r w:rsidRPr="006536F6">
              <w:t>3.3</w:t>
            </w:r>
            <w:r w:rsidRPr="006536F6">
              <w:tab/>
              <w:t>Recommendations to improve compliance are prepared and presented.</w:t>
            </w:r>
          </w:p>
        </w:tc>
      </w:tr>
    </w:tbl>
    <w:p w:rsidR="00CE4FD6" w:rsidP="006536F6">
      <w:pPr>
        <w:pStyle w:val="BodyText"/>
      </w:pPr>
    </w:p>
    <w:p w:rsidR="00CE4FD6" w:rsidP="006536F6">
      <w:pPr>
        <w:pStyle w:val="BodyText"/>
      </w:pPr>
    </w:p>
    <w:p w:rsidR="00000000" w:rsidRPr="006536F6" w:rsidP="006536F6">
      <w:pPr>
        <w:pStyle w:val="Heading1"/>
      </w:pPr>
      <w:bookmarkStart w:id="9" w:name="O_517921"/>
      <w:bookmarkEnd w:id="9"/>
      <w:r w:rsidRPr="006536F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5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BodyText"/>
              <w:rPr>
                <w:lang w:val="en-NZ"/>
              </w:rPr>
            </w:pPr>
            <w:r w:rsidRPr="006536F6">
              <w:t>This des</w:t>
            </w:r>
            <w:r w:rsidRPr="006536F6">
              <w:t>cribes the essential skills and knowledge and their level, required for this unit.</w:t>
            </w:r>
          </w:p>
        </w:tc>
      </w:tr>
      <w:tr w:rsidTr="0065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BodyText"/>
              <w:rPr>
                <w:lang w:val="en-NZ"/>
              </w:rPr>
            </w:pPr>
            <w:r w:rsidRPr="006536F6">
              <w:rPr>
                <w:rStyle w:val="SpecialBold"/>
              </w:rPr>
              <w:t>Required Skills</w:t>
            </w:r>
          </w:p>
        </w:tc>
      </w:tr>
      <w:tr w:rsidTr="0065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ListBullet"/>
            </w:pPr>
            <w:r w:rsidRPr="006536F6">
              <w:t xml:space="preserve">applying legislation, regulations and policies relating to enterprise architecture </w:t>
            </w:r>
          </w:p>
          <w:p w:rsidR="00000000" w:rsidRPr="006536F6" w:rsidP="006536F6">
            <w:pPr>
              <w:pStyle w:val="ListBullet"/>
            </w:pPr>
            <w:r w:rsidRPr="006536F6">
              <w:t>undertaking analysis in the context of enterprise architecture</w:t>
            </w:r>
          </w:p>
          <w:p w:rsidR="00000000" w:rsidRPr="006536F6" w:rsidP="006536F6">
            <w:pPr>
              <w:pStyle w:val="ListBullet"/>
            </w:pPr>
            <w:r w:rsidRPr="006536F6">
              <w:t>applying information management relating to enterprise architecture</w:t>
            </w:r>
          </w:p>
          <w:p w:rsidR="00000000" w:rsidRPr="006536F6" w:rsidP="006536F6">
            <w:pPr>
              <w:pStyle w:val="ListBullet"/>
            </w:pPr>
            <w:r w:rsidRPr="006536F6">
              <w:t>reporting on compliance requiring clear well-supported recommendations</w:t>
            </w:r>
          </w:p>
          <w:p w:rsidR="00000000" w:rsidRPr="006536F6" w:rsidP="006536F6">
            <w:pPr>
              <w:pStyle w:val="ListBullet"/>
            </w:pPr>
            <w:r w:rsidRPr="006536F6">
              <w:t>responding to diversity, including gender and disability</w:t>
            </w:r>
          </w:p>
          <w:p w:rsidR="00000000" w:rsidP="006536F6">
            <w:pPr>
              <w:pStyle w:val="ListBullet"/>
              <w:rPr>
                <w:lang w:val="en-NZ"/>
              </w:rPr>
            </w:pPr>
            <w:r w:rsidRPr="006536F6">
              <w:t>applying procedures relating to work health and safety and e</w:t>
            </w:r>
            <w:r w:rsidRPr="006536F6">
              <w:t>nvironment in the context of enterprise architecture</w:t>
            </w:r>
          </w:p>
        </w:tc>
      </w:tr>
      <w:tr w:rsidTr="0065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BodyText"/>
              <w:rPr>
                <w:lang w:val="en-NZ"/>
              </w:rPr>
            </w:pPr>
            <w:r w:rsidRPr="006536F6">
              <w:rPr>
                <w:rStyle w:val="SpecialBold"/>
              </w:rPr>
              <w:t>Required Knowledge</w:t>
            </w:r>
          </w:p>
        </w:tc>
      </w:tr>
      <w:tr w:rsidTr="0065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ListBullet"/>
            </w:pPr>
            <w:r w:rsidRPr="006536F6">
              <w:t>legislation, regulations, policies, procedures and guidelines relating to enterprise architecture</w:t>
            </w:r>
          </w:p>
          <w:p w:rsidR="00000000" w:rsidRPr="006536F6" w:rsidP="006536F6">
            <w:pPr>
              <w:pStyle w:val="ListBullet"/>
            </w:pPr>
            <w:r w:rsidRPr="006536F6">
              <w:t>scope and structure of organisation’s enterprise architecture framework</w:t>
            </w:r>
          </w:p>
          <w:p w:rsidR="00000000" w:rsidRPr="006536F6" w:rsidP="006536F6">
            <w:pPr>
              <w:pStyle w:val="ListBullet"/>
            </w:pPr>
            <w:r w:rsidRPr="006536F6">
              <w:t>critical po</w:t>
            </w:r>
            <w:r w:rsidRPr="006536F6">
              <w:t>ints and criteria for compliance</w:t>
            </w:r>
          </w:p>
          <w:p w:rsidR="00000000" w:rsidRPr="006536F6" w:rsidP="006536F6">
            <w:pPr>
              <w:pStyle w:val="ListBullet"/>
            </w:pPr>
            <w:r w:rsidRPr="006536F6">
              <w:t>equal employment opportunity, equity and diversity principles</w:t>
            </w:r>
          </w:p>
          <w:p w:rsidR="00000000" w:rsidRPr="006536F6" w:rsidP="006536F6">
            <w:pPr>
              <w:pStyle w:val="ListBullet"/>
            </w:pPr>
            <w:r w:rsidRPr="006536F6">
              <w:t xml:space="preserve">public sector legislation such as work health and safety and environment in the </w:t>
            </w:r>
            <w:r w:rsidRPr="006536F6">
              <w:t>context of enterprise architecture</w:t>
            </w:r>
          </w:p>
        </w:tc>
      </w:tr>
    </w:tbl>
    <w:p w:rsidR="00000000" w:rsidRPr="006536F6" w:rsidP="006536F6">
      <w:pPr>
        <w:pStyle w:val="BodyText"/>
      </w:pPr>
    </w:p>
    <w:p w:rsidR="00000000" w:rsidRPr="006536F6" w:rsidP="006536F6">
      <w:pPr>
        <w:pStyle w:val="AllowPageBreak"/>
      </w:pPr>
    </w:p>
    <w:p w:rsidR="00000000" w:rsidRPr="006536F6" w:rsidP="006536F6">
      <w:pPr>
        <w:pStyle w:val="Heading1"/>
      </w:pPr>
      <w:bookmarkStart w:id="10" w:name="O_517922"/>
      <w:bookmarkEnd w:id="10"/>
      <w:r w:rsidRPr="006536F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5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BodyText"/>
              <w:rPr>
                <w:lang w:val="en-NZ"/>
              </w:rPr>
            </w:pPr>
            <w:r w:rsidRPr="006536F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BodyText"/>
            </w:pPr>
            <w:r w:rsidRPr="006536F6">
              <w:t>Assessment must confirm the ability to:</w:t>
            </w:r>
          </w:p>
          <w:p w:rsidR="00000000" w:rsidRPr="006536F6" w:rsidP="006536F6">
            <w:pPr>
              <w:pStyle w:val="ListBullet"/>
            </w:pPr>
            <w:r w:rsidRPr="006536F6">
              <w:t>demonstrate compliance with an enterprise architecture framework in a range of (2 or more) contexts (or occasions, over ti</w:t>
            </w:r>
            <w:r w:rsidRPr="006536F6">
              <w:t>me)</w:t>
            </w:r>
          </w:p>
          <w:p w:rsidR="00000000" w:rsidRPr="006536F6" w:rsidP="006536F6">
            <w:pPr>
              <w:pStyle w:val="BodyText"/>
            </w:pPr>
            <w:r w:rsidRPr="006536F6">
              <w:rPr>
                <w:rStyle w:val="SpecialBold"/>
              </w:rPr>
              <w:t>Consistency in performance</w:t>
            </w:r>
          </w:p>
          <w:p w:rsidR="00000000" w:rsidP="006536F6">
            <w:pPr>
              <w:pStyle w:val="BodyText"/>
              <w:rPr>
                <w:lang w:val="en-NZ"/>
              </w:rPr>
            </w:pPr>
            <w:r w:rsidRPr="006536F6">
              <w:t>Evidence must be gathered over time in a range of contexts to ensure the person can achieve the unit outcome and apply the competency in different situations or environments</w:t>
            </w:r>
          </w:p>
        </w:tc>
      </w:tr>
      <w:tr w:rsidTr="0065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BodyText"/>
            </w:pPr>
            <w:r w:rsidRPr="006536F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BodyText"/>
            </w:pPr>
            <w:r w:rsidRPr="006536F6">
              <w:rPr>
                <w:rStyle w:val="SpecialBold"/>
              </w:rPr>
              <w:t>Context of assessment</w:t>
            </w:r>
          </w:p>
          <w:p w:rsidR="00000000" w:rsidRPr="006536F6" w:rsidP="006536F6">
            <w:pPr>
              <w:pStyle w:val="BodyText"/>
            </w:pPr>
            <w:r w:rsidRPr="006536F6">
              <w:t>Competency should be assessed in the workplace or in a simulated workplace environment.</w:t>
            </w:r>
          </w:p>
          <w:p w:rsidR="00000000" w:rsidRPr="006536F6" w:rsidP="006536F6">
            <w:pPr>
              <w:pStyle w:val="BodyText"/>
            </w:pPr>
            <w:r w:rsidRPr="006536F6">
              <w:rPr>
                <w:rStyle w:val="SpecialBold"/>
              </w:rPr>
              <w:t>Specific resources for assessment</w:t>
            </w:r>
          </w:p>
          <w:p w:rsidR="00000000" w:rsidRPr="006536F6" w:rsidP="006536F6">
            <w:pPr>
              <w:pStyle w:val="ListBullet"/>
            </w:pPr>
            <w:r w:rsidRPr="006536F6">
              <w:t>legislation, policy, procedures and protocols relating to enterprise architecture</w:t>
            </w:r>
          </w:p>
          <w:p w:rsidR="00000000" w:rsidRPr="006536F6" w:rsidP="006536F6">
            <w:pPr>
              <w:pStyle w:val="ListBullet"/>
            </w:pPr>
            <w:r w:rsidRPr="006536F6">
              <w:t>capacity for extended observa</w:t>
            </w:r>
            <w:r w:rsidRPr="006536F6">
              <w:t>tion of the compliance verification process</w:t>
            </w:r>
          </w:p>
          <w:p w:rsidR="00000000" w:rsidRPr="006536F6" w:rsidP="006536F6">
            <w:pPr>
              <w:pStyle w:val="ListBullet"/>
            </w:pPr>
            <w:r w:rsidRPr="006536F6">
              <w:t>case studies and workplace scenarios to capture the range of situations likely to be encountered when demonstrating compliance with an enterprise architecture framework</w:t>
            </w:r>
          </w:p>
        </w:tc>
      </w:tr>
    </w:tbl>
    <w:p w:rsidR="00000000" w:rsidRPr="006536F6" w:rsidP="006536F6">
      <w:pPr>
        <w:pStyle w:val="BodyText"/>
      </w:pPr>
    </w:p>
    <w:p w:rsidR="00000000" w:rsidRPr="006536F6" w:rsidP="006536F6">
      <w:pPr>
        <w:pStyle w:val="AllowPageBreak"/>
      </w:pPr>
    </w:p>
    <w:p w:rsidR="00000000" w:rsidRPr="006536F6" w:rsidP="006536F6">
      <w:pPr>
        <w:pStyle w:val="Heading1"/>
      </w:pPr>
      <w:bookmarkStart w:id="11" w:name="O_517923"/>
      <w:bookmarkEnd w:id="11"/>
      <w:r w:rsidRPr="006536F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5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BodyText"/>
              <w:rPr>
                <w:lang w:val="en-NZ"/>
              </w:rPr>
            </w:pPr>
            <w:r w:rsidRPr="006536F6">
              <w:t>The Rang</w:t>
            </w:r>
            <w:r w:rsidRPr="006536F6">
              <w:t xml:space="preserve">e Statement relates to the Unit of Competency as a whole. It allows for different work environments and situations that may affect performance. </w:t>
            </w:r>
            <w:r w:rsidRPr="006536F6">
              <w:rPr>
                <w:rStyle w:val="BoldandItalics"/>
              </w:rPr>
              <w:t>Bold italicised</w:t>
            </w:r>
            <w:r w:rsidRPr="006536F6">
              <w:t xml:space="preserve"> wording in the Performance Criteria is detailed below.</w:t>
            </w:r>
          </w:p>
        </w:tc>
      </w:tr>
      <w:tr w:rsidTr="0065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6F6">
            <w:pPr>
              <w:pStyle w:val="BodyText"/>
              <w:rPr>
                <w:lang w:val="en-NZ"/>
              </w:rPr>
            </w:pPr>
            <w:r w:rsidRPr="006536F6">
              <w:rPr>
                <w:rStyle w:val="BoldandItalics"/>
              </w:rPr>
              <w:t xml:space="preserve">Business processes </w:t>
            </w:r>
            <w:r w:rsidRPr="006536F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6F6" w:rsidP="006536F6">
            <w:pPr>
              <w:pStyle w:val="ListBullet"/>
            </w:pPr>
            <w:r w:rsidRPr="006536F6">
              <w:t>applications</w:t>
            </w:r>
          </w:p>
          <w:p w:rsidR="00000000" w:rsidRPr="006536F6" w:rsidP="006536F6">
            <w:pPr>
              <w:pStyle w:val="ListBullet"/>
            </w:pPr>
            <w:r w:rsidRPr="006536F6">
              <w:t xml:space="preserve">data </w:t>
            </w:r>
          </w:p>
          <w:p w:rsidR="00000000" w:rsidRPr="006536F6" w:rsidP="006536F6">
            <w:pPr>
              <w:pStyle w:val="ListBullet"/>
            </w:pPr>
            <w:r w:rsidRPr="006536F6">
              <w:t xml:space="preserve">information </w:t>
            </w:r>
          </w:p>
          <w:p w:rsidR="00000000" w:rsidRPr="006536F6" w:rsidP="006536F6">
            <w:pPr>
              <w:pStyle w:val="ListBullet"/>
            </w:pPr>
            <w:r w:rsidRPr="006536F6">
              <w:t xml:space="preserve">information technology </w:t>
            </w:r>
          </w:p>
          <w:p w:rsidR="00000000" w:rsidRPr="006536F6" w:rsidP="006536F6">
            <w:pPr>
              <w:pStyle w:val="ListBullet"/>
            </w:pPr>
            <w:r w:rsidRPr="006536F6">
              <w:t xml:space="preserve">infrastructure </w:t>
            </w:r>
          </w:p>
          <w:p w:rsidR="00000000" w:rsidRPr="006536F6" w:rsidP="006536F6">
            <w:pPr>
              <w:pStyle w:val="ListBullet"/>
            </w:pPr>
            <w:r w:rsidRPr="006536F6">
              <w:t xml:space="preserve">management </w:t>
            </w:r>
          </w:p>
          <w:p w:rsidR="00000000" w:rsidRPr="006536F6" w:rsidP="006536F6">
            <w:pPr>
              <w:pStyle w:val="ListBullet"/>
            </w:pPr>
            <w:r w:rsidRPr="006536F6">
              <w:t xml:space="preserve">security </w:t>
            </w:r>
          </w:p>
          <w:p w:rsidR="00000000" w:rsidRPr="006536F6" w:rsidP="006536F6">
            <w:pPr>
              <w:pStyle w:val="ListBullet"/>
            </w:pPr>
            <w:r w:rsidRPr="006536F6">
              <w:t>technology</w:t>
            </w:r>
          </w:p>
        </w:tc>
      </w:tr>
    </w:tbl>
    <w:p w:rsidR="00000000" w:rsidRPr="006536F6" w:rsidP="006536F6">
      <w:pPr>
        <w:pStyle w:val="BodyText"/>
      </w:pPr>
    </w:p>
    <w:p w:rsidR="00000000" w:rsidRPr="006536F6" w:rsidP="006536F6">
      <w:pPr>
        <w:pStyle w:val="AllowPageBreak"/>
      </w:pPr>
    </w:p>
    <w:p w:rsidR="00000000" w:rsidRPr="006536F6" w:rsidP="006536F6">
      <w:pPr>
        <w:pStyle w:val="Heading1"/>
      </w:pPr>
      <w:bookmarkStart w:id="12" w:name="O_517924"/>
      <w:bookmarkEnd w:id="12"/>
      <w:r w:rsidRPr="006536F6">
        <w:t>Unit Sector(s)</w:t>
      </w:r>
    </w:p>
    <w:p w:rsidR="00000000" w:rsidRPr="006536F6" w:rsidP="006536F6">
      <w:pPr>
        <w:pStyle w:val="BodyText"/>
      </w:pPr>
      <w:r w:rsidRPr="006536F6">
        <w:t>Not applicable.</w:t>
      </w:r>
    </w:p>
    <w:p w:rsidR="00000000" w:rsidRPr="006536F6" w:rsidP="006536F6"/>
    <w:sectPr w:rsidSect="006536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F6" w:rsidRPr="00CE4FD6" w:rsidP="00CE4FD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FD6" w:rsidP="00653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4FD6" w:rsidP="00653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E4FD6" w:rsidP="00653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F6" w:rsidRPr="00CE4FD6" w:rsidP="00CE4F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FD6" w:rsidRPr="002D2AF8" w:rsidP="00653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DEFEA002 Demonstrate compliance with an enterprise architecture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E4FD6" w:rsidP="00653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265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5C5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6F6"/>
  </w:style>
  <w:style w:type="character" w:customStyle="1" w:styleId="Heading1Char">
    <w:name w:val="Heading 1 Char"/>
    <w:basedOn w:val="DefaultParagraphFont"/>
    <w:link w:val="Heading1"/>
    <w:rsid w:val="00653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6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6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36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36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6F6"/>
    <w:rPr>
      <w:b/>
      <w:spacing w:val="0"/>
    </w:rPr>
  </w:style>
  <w:style w:type="paragraph" w:customStyle="1" w:styleId="SuperHeading">
    <w:name w:val="SuperHeading"/>
    <w:basedOn w:val="Normal"/>
    <w:rsid w:val="00653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536F6"/>
    <w:pPr>
      <w:spacing w:before="60" w:after="60"/>
    </w:pPr>
  </w:style>
  <w:style w:type="character" w:customStyle="1" w:styleId="BoldandItalics">
    <w:name w:val="Bold and Italics"/>
    <w:qFormat/>
    <w:rsid w:val="006536F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53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6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3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6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36F6"/>
    <w:rPr>
      <w:i/>
    </w:rPr>
  </w:style>
  <w:style w:type="paragraph" w:styleId="Caption">
    <w:name w:val="caption"/>
    <w:basedOn w:val="BodyText"/>
    <w:next w:val="Normal"/>
    <w:qFormat/>
    <w:rsid w:val="00653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6F6"/>
  </w:style>
  <w:style w:type="paragraph" w:styleId="TableofFigures">
    <w:name w:val="table of figures"/>
    <w:basedOn w:val="Normal"/>
    <w:next w:val="Normal"/>
    <w:semiHidden/>
    <w:rsid w:val="00653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6F6"/>
    <w:pPr>
      <w:numPr>
        <w:numId w:val="10"/>
      </w:numPr>
    </w:pPr>
  </w:style>
  <w:style w:type="character" w:customStyle="1" w:styleId="WingdingSymbols">
    <w:name w:val="Wingding Symbols"/>
    <w:rsid w:val="006536F6"/>
    <w:rPr>
      <w:rFonts w:ascii="Wingdings" w:hAnsi="Wingdings"/>
    </w:rPr>
  </w:style>
  <w:style w:type="paragraph" w:customStyle="1" w:styleId="TableHeading">
    <w:name w:val="Table Heading"/>
    <w:basedOn w:val="HeadingBase"/>
    <w:rsid w:val="00653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6F6"/>
    <w:rPr>
      <w:color w:val="0033CC"/>
      <w:u w:val="none"/>
    </w:rPr>
  </w:style>
  <w:style w:type="paragraph" w:customStyle="1" w:styleId="BodyTextRight">
    <w:name w:val="Body Text Right"/>
    <w:basedOn w:val="BodyText"/>
    <w:rsid w:val="00653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6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6F6"/>
    <w:rPr>
      <w:sz w:val="32"/>
    </w:rPr>
  </w:style>
  <w:style w:type="paragraph" w:customStyle="1" w:styleId="HeadingProcedure">
    <w:name w:val="Heading Procedure"/>
    <w:basedOn w:val="HeadingBase"/>
    <w:next w:val="Normal"/>
    <w:rsid w:val="00653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536F6"/>
    <w:pPr>
      <w:ind w:firstLine="0"/>
    </w:pPr>
  </w:style>
  <w:style w:type="paragraph" w:customStyle="1" w:styleId="ListNote">
    <w:name w:val="List Note"/>
    <w:basedOn w:val="List"/>
    <w:rsid w:val="00653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6F6"/>
    <w:rPr>
      <w:rFonts w:ascii="Courier New" w:hAnsi="Courier New"/>
    </w:rPr>
  </w:style>
  <w:style w:type="paragraph" w:customStyle="1" w:styleId="NoteBullet">
    <w:name w:val="Note Bullet"/>
    <w:basedOn w:val="Note"/>
    <w:rsid w:val="00653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3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6F6"/>
    <w:rPr>
      <w:b/>
      <w:smallCaps/>
    </w:rPr>
  </w:style>
  <w:style w:type="paragraph" w:customStyle="1" w:styleId="TableListNumber">
    <w:name w:val="Table List Number"/>
    <w:basedOn w:val="ListNumber"/>
    <w:rsid w:val="00653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6F6"/>
    <w:pPr>
      <w:numPr>
        <w:numId w:val="8"/>
      </w:numPr>
    </w:pPr>
  </w:style>
  <w:style w:type="paragraph" w:customStyle="1" w:styleId="ListAlpha2">
    <w:name w:val="List Alpha 2"/>
    <w:basedOn w:val="List2"/>
    <w:rsid w:val="006536F6"/>
    <w:pPr>
      <w:numPr>
        <w:numId w:val="7"/>
      </w:numPr>
    </w:pPr>
  </w:style>
  <w:style w:type="paragraph" w:styleId="List2">
    <w:name w:val="List 2"/>
    <w:basedOn w:val="BodyText"/>
    <w:rsid w:val="00653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6F6"/>
    <w:pPr>
      <w:numPr>
        <w:numId w:val="2"/>
      </w:numPr>
    </w:pPr>
  </w:style>
  <w:style w:type="paragraph" w:styleId="ListBullet5">
    <w:name w:val="List Bullet 5"/>
    <w:basedOn w:val="List5"/>
    <w:rsid w:val="006536F6"/>
    <w:pPr>
      <w:numPr>
        <w:numId w:val="3"/>
      </w:numPr>
    </w:pPr>
  </w:style>
  <w:style w:type="paragraph" w:styleId="ListContinue2">
    <w:name w:val="List Continue 2"/>
    <w:basedOn w:val="List2"/>
    <w:rsid w:val="006536F6"/>
    <w:pPr>
      <w:ind w:firstLine="0"/>
    </w:pPr>
  </w:style>
  <w:style w:type="paragraph" w:styleId="ListContinue3">
    <w:name w:val="List Continue 3"/>
    <w:basedOn w:val="List3"/>
    <w:rsid w:val="006536F6"/>
    <w:pPr>
      <w:ind w:left="1021" w:firstLine="0"/>
    </w:pPr>
  </w:style>
  <w:style w:type="paragraph" w:styleId="ListContinue4">
    <w:name w:val="List Continue 4"/>
    <w:basedOn w:val="List4"/>
    <w:rsid w:val="006536F6"/>
    <w:pPr>
      <w:ind w:firstLine="0"/>
    </w:pPr>
  </w:style>
  <w:style w:type="paragraph" w:styleId="ListContinue5">
    <w:name w:val="List Continue 5"/>
    <w:basedOn w:val="List5"/>
    <w:rsid w:val="006536F6"/>
    <w:pPr>
      <w:ind w:firstLine="0"/>
    </w:pPr>
  </w:style>
  <w:style w:type="paragraph" w:styleId="ListNumber3">
    <w:name w:val="List Number 3"/>
    <w:basedOn w:val="List3"/>
    <w:rsid w:val="006536F6"/>
    <w:pPr>
      <w:numPr>
        <w:numId w:val="4"/>
      </w:numPr>
    </w:pPr>
  </w:style>
  <w:style w:type="paragraph" w:styleId="ListNumber4">
    <w:name w:val="List Number 4"/>
    <w:basedOn w:val="List4"/>
    <w:rsid w:val="006536F6"/>
    <w:pPr>
      <w:numPr>
        <w:numId w:val="5"/>
      </w:numPr>
    </w:pPr>
  </w:style>
  <w:style w:type="paragraph" w:styleId="ListNumber5">
    <w:name w:val="List Number 5"/>
    <w:basedOn w:val="List5"/>
    <w:rsid w:val="006536F6"/>
    <w:pPr>
      <w:numPr>
        <w:numId w:val="6"/>
      </w:numPr>
    </w:pPr>
  </w:style>
  <w:style w:type="paragraph" w:styleId="BlockText">
    <w:name w:val="Block Text"/>
    <w:basedOn w:val="Normal"/>
    <w:rsid w:val="00653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6F6"/>
    <w:rPr>
      <w:sz w:val="16"/>
      <w:vertAlign w:val="superscript"/>
    </w:rPr>
  </w:style>
  <w:style w:type="character" w:customStyle="1" w:styleId="Symbols">
    <w:name w:val="Symbols"/>
    <w:basedOn w:val="DefaultParagraphFont"/>
    <w:rsid w:val="006536F6"/>
    <w:rPr>
      <w:rFonts w:ascii="Symbol" w:hAnsi="Symbol"/>
    </w:rPr>
  </w:style>
  <w:style w:type="character" w:customStyle="1" w:styleId="MenuOptions">
    <w:name w:val="Menu Options"/>
    <w:basedOn w:val="DefaultParagraphFont"/>
    <w:rsid w:val="00653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6F6"/>
    <w:rPr>
      <w:b/>
    </w:rPr>
  </w:style>
  <w:style w:type="character" w:customStyle="1" w:styleId="Underlined">
    <w:name w:val="Underlined"/>
    <w:basedOn w:val="DefaultParagraphFont"/>
    <w:rsid w:val="006536F6"/>
    <w:rPr>
      <w:u w:val="single"/>
    </w:rPr>
  </w:style>
  <w:style w:type="paragraph" w:customStyle="1" w:styleId="TableBodyTextRight">
    <w:name w:val="Table Body Text Right"/>
    <w:basedOn w:val="TableBodyText"/>
    <w:rsid w:val="00653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6F6"/>
    <w:rPr>
      <w:sz w:val="18"/>
    </w:rPr>
  </w:style>
  <w:style w:type="paragraph" w:customStyle="1" w:styleId="BodySmallRight">
    <w:name w:val="Body Small Right"/>
    <w:basedOn w:val="BodyTextRight"/>
    <w:rsid w:val="006536F6"/>
    <w:rPr>
      <w:sz w:val="18"/>
      <w:szCs w:val="18"/>
    </w:rPr>
  </w:style>
  <w:style w:type="paragraph" w:customStyle="1" w:styleId="MarginEdition">
    <w:name w:val="Margin Edition"/>
    <w:basedOn w:val="MarginNote"/>
    <w:rsid w:val="00653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6F6"/>
    <w:rPr>
      <w:sz w:val="2"/>
      <w:szCs w:val="2"/>
    </w:rPr>
  </w:style>
  <w:style w:type="character" w:customStyle="1" w:styleId="Small">
    <w:name w:val="Small"/>
    <w:basedOn w:val="DefaultParagraphFont"/>
    <w:rsid w:val="006536F6"/>
    <w:rPr>
      <w:sz w:val="16"/>
    </w:rPr>
  </w:style>
  <w:style w:type="paragraph" w:customStyle="1" w:styleId="WideTable">
    <w:name w:val="Wide Table"/>
    <w:basedOn w:val="Normal"/>
    <w:rsid w:val="00653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6F6"/>
  </w:style>
  <w:style w:type="paragraph" w:styleId="Quote">
    <w:name w:val="Quote"/>
    <w:basedOn w:val="Heading1"/>
    <w:link w:val="QuoteChar"/>
    <w:qFormat/>
    <w:rsid w:val="00653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6F6"/>
    <w:pPr>
      <w:pageBreakBefore/>
    </w:pPr>
  </w:style>
  <w:style w:type="paragraph" w:customStyle="1" w:styleId="Border">
    <w:name w:val="Border"/>
    <w:basedOn w:val="Normal"/>
    <w:qFormat/>
    <w:rsid w:val="00653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6F6"/>
    <w:rPr>
      <w:u w:val="single"/>
    </w:rPr>
  </w:style>
  <w:style w:type="paragraph" w:styleId="BalloonText">
    <w:name w:val="Balloon Text"/>
    <w:basedOn w:val="Normal"/>
    <w:link w:val="BalloonTextChar"/>
    <w:rsid w:val="00653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6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6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658</Words>
  <Characters>4334</Characters>
  <Application>Microsoft Office Word</Application>
  <DocSecurity>0</DocSecurity>
  <Lines>150</Lines>
  <Paragraphs>85</Paragraphs>
  <ScaleCrop>false</ScaleCrop>
  <Company>Author-it Software Corporation Ltd.</Company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DEFEA002 Demonstrate compliance with an enterprise architecture framework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2013-01-25T15:33:00Z</dcterms:created>
  <dcterms:modified xsi:type="dcterms:W3CDTF">2013-01-25T15:33:00Z</dcterms:modified>
</cp:coreProperties>
</file>