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E7A" w:rsidP="00E05E7A">
      <w:pPr>
        <w:pStyle w:val="Title"/>
      </w:pPr>
      <w:bookmarkStart w:id="0" w:name="_GoBack"/>
      <w:bookmarkEnd w:id="0"/>
      <w:r>
        <w:fldChar w:fldCharType="begin"/>
      </w:r>
      <w:r>
        <w:instrText xml:space="preserve"> TITLE   \* MERGEFORMAT </w:instrText>
      </w:r>
      <w:r>
        <w:fldChar w:fldCharType="separate"/>
      </w:r>
      <w:r>
        <w:t>DEFCM311A Implement and manage technical risk management</w:t>
      </w:r>
      <w:r>
        <w:fldChar w:fldCharType="end"/>
      </w:r>
    </w:p>
    <w:p w:rsidR="00E05E7A" w:rsidP="00E05E7A">
      <w:pPr>
        <w:pStyle w:val="Version"/>
        <w:sectPr w:rsidSect="00FE2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2B4B" w:rsidP="00FE2B4B">
      <w:pPr>
        <w:pStyle w:val="SuperHeading"/>
      </w:pPr>
      <w:r w:rsidRPr="00FE2B4B">
        <w:t>DEFCM311A Implement and manage technical risk management</w:t>
      </w:r>
    </w:p>
    <w:p w:rsidR="00000000" w:rsidRPr="00FE2B4B" w:rsidP="00FE2B4B">
      <w:pPr>
        <w:pStyle w:val="Heading1"/>
      </w:pPr>
      <w:bookmarkStart w:id="1" w:name="O_509352"/>
      <w:bookmarkEnd w:id="1"/>
      <w:r w:rsidRPr="00FE2B4B">
        <w:t>Modification History</w:t>
      </w:r>
    </w:p>
    <w:tbl>
      <w:tblPr>
        <w:tblW w:w="0" w:type="auto"/>
        <w:tblLayout w:type="fixed"/>
        <w:tblCellMar>
          <w:left w:w="62" w:type="dxa"/>
          <w:right w:w="62" w:type="dxa"/>
        </w:tblCellMar>
        <w:tblLook w:val="0000"/>
      </w:tblPr>
      <w:tblGrid>
        <w:gridCol w:w="1134"/>
        <w:gridCol w:w="1134"/>
        <w:gridCol w:w="4536"/>
      </w:tblGrid>
      <w:tr w:rsidTr="00E05E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B4B" w:rsidP="00FE2B4B">
            <w:pPr>
              <w:pStyle w:val="BodyText"/>
            </w:pPr>
            <w:r w:rsidRPr="00FE2B4B">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B4B" w:rsidP="00FE2B4B">
            <w:pPr>
              <w:pStyle w:val="BodyText"/>
            </w:pPr>
            <w:r w:rsidRPr="00FE2B4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B4B">
            <w:pPr>
              <w:pStyle w:val="BodyText"/>
              <w:rPr>
                <w:lang w:val="en-NZ"/>
              </w:rPr>
            </w:pPr>
            <w:r w:rsidRPr="00FE2B4B">
              <w:rPr>
                <w:rStyle w:val="SpecialBold"/>
              </w:rPr>
              <w:t>Comments</w:t>
            </w:r>
          </w:p>
        </w:tc>
      </w:tr>
      <w:tr w:rsidTr="00E05E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B4B">
            <w:pPr>
              <w:pStyle w:val="BodyText"/>
              <w:rPr>
                <w:lang w:val="en-NZ"/>
              </w:rPr>
            </w:pPr>
            <w:r w:rsidRPr="00FE2B4B">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B4B">
            <w:pPr>
              <w:pStyle w:val="BodyText"/>
              <w:rPr>
                <w:lang w:val="en-NZ"/>
              </w:rPr>
            </w:pPr>
            <w:r w:rsidRPr="00FE2B4B">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B4B">
            <w:pPr>
              <w:pStyle w:val="BodyText"/>
              <w:rPr>
                <w:lang w:val="en-NZ"/>
              </w:rPr>
            </w:pPr>
            <w:r w:rsidRPr="00FE2B4B">
              <w:t xml:space="preserve">Layout adjusted. No changes to content. </w:t>
            </w:r>
          </w:p>
        </w:tc>
      </w:tr>
      <w:tr w:rsidTr="00E05E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B4B">
            <w:pPr>
              <w:pStyle w:val="BodyText"/>
              <w:rPr>
                <w:lang w:val="en-NZ"/>
              </w:rPr>
            </w:pPr>
            <w:r w:rsidRPr="00FE2B4B">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B4B">
            <w:pPr>
              <w:pStyle w:val="BodyText"/>
              <w:rPr>
                <w:lang w:val="en-NZ"/>
              </w:rPr>
            </w:pPr>
            <w:r w:rsidRPr="00FE2B4B">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B4B" w:rsidP="00FE2B4B">
            <w:pPr>
              <w:pStyle w:val="BodyText"/>
            </w:pPr>
            <w:r w:rsidRPr="00FE2B4B">
              <w:t xml:space="preserve">Primary release. </w:t>
            </w:r>
          </w:p>
        </w:tc>
      </w:tr>
    </w:tbl>
    <w:p w:rsidR="00E05E7A" w:rsidP="00FE2B4B">
      <w:pPr>
        <w:pStyle w:val="BodyText"/>
      </w:pPr>
    </w:p>
    <w:p w:rsidR="00E05E7A" w:rsidP="00FE2B4B">
      <w:pPr>
        <w:pStyle w:val="BodyText"/>
      </w:pPr>
    </w:p>
    <w:p w:rsidR="00000000" w:rsidRPr="00FE2B4B" w:rsidP="00FE2B4B">
      <w:pPr>
        <w:pStyle w:val="Heading1"/>
      </w:pPr>
      <w:bookmarkStart w:id="2" w:name="O_509356"/>
      <w:bookmarkEnd w:id="2"/>
      <w:r w:rsidRPr="00FE2B4B">
        <w:t>Unit Descriptor</w:t>
      </w:r>
    </w:p>
    <w:p w:rsidR="00000000" w:rsidRPr="00FE2B4B" w:rsidP="00FE2B4B">
      <w:pPr>
        <w:pStyle w:val="BodyText"/>
      </w:pPr>
      <w:r w:rsidRPr="00FE2B4B">
        <w:t>This unit covers the competency required to manage risk within the organ</w:t>
      </w:r>
      <w:r w:rsidRPr="00FE2B4B">
        <w:t>isation's environment in order to avoid adverse effects on the technical integrity of the organisation's materiel.</w:t>
      </w:r>
    </w:p>
    <w:p w:rsidR="00000000" w:rsidRPr="00FE2B4B" w:rsidP="00FE2B4B">
      <w:pPr>
        <w:pStyle w:val="BodyText"/>
      </w:pPr>
      <w:r w:rsidRPr="00FE2B4B">
        <w:t>It covers determining, monitoring and controlling risks, and assessing technical risk management outcomes.</w:t>
      </w:r>
    </w:p>
    <w:p w:rsidR="00000000" w:rsidRPr="00FE2B4B" w:rsidP="00FE2B4B">
      <w:pPr>
        <w:pStyle w:val="AllowPageBreak"/>
      </w:pPr>
    </w:p>
    <w:p w:rsidR="00000000" w:rsidRPr="00FE2B4B" w:rsidP="00FE2B4B">
      <w:pPr>
        <w:pStyle w:val="Heading1"/>
      </w:pPr>
      <w:bookmarkStart w:id="3" w:name="O_509364"/>
      <w:bookmarkEnd w:id="3"/>
      <w:r w:rsidRPr="00FE2B4B">
        <w:t>Application of the Unit</w:t>
      </w:r>
    </w:p>
    <w:p w:rsidR="00000000" w:rsidRPr="00FE2B4B" w:rsidP="00FE2B4B">
      <w:pPr>
        <w:pStyle w:val="BodyText"/>
      </w:pPr>
      <w:r w:rsidRPr="00FE2B4B">
        <w:t xml:space="preserve">This unit was developed for technical regulatory framework specialists working within the materiel logistics area of Defence but is applicable to any individual in this field of work. </w:t>
      </w:r>
    </w:p>
    <w:p w:rsidR="00000000" w:rsidRPr="00FE2B4B" w:rsidP="00FE2B4B">
      <w:pPr>
        <w:pStyle w:val="BodyText"/>
      </w:pPr>
      <w:r w:rsidRPr="00FE2B4B">
        <w:t xml:space="preserve">Typically these individuals work independently </w:t>
      </w:r>
      <w:r w:rsidRPr="00FE2B4B">
        <w:t>or as part of a team under direct and/or indirect supervision, use discretion and judgement, and take responsibility for the quality of their outputs. All activities are carried out in accordance with relevant organisational policies and procedures</w:t>
      </w:r>
    </w:p>
    <w:p w:rsidR="00000000" w:rsidRPr="00FE2B4B" w:rsidP="00FE2B4B">
      <w:pPr>
        <w:pStyle w:val="AllowPageBreak"/>
      </w:pPr>
    </w:p>
    <w:p w:rsidR="00000000" w:rsidRPr="00FE2B4B" w:rsidP="00FE2B4B">
      <w:pPr>
        <w:pStyle w:val="Heading1"/>
      </w:pPr>
      <w:bookmarkStart w:id="4" w:name="O_509360"/>
      <w:bookmarkEnd w:id="4"/>
      <w:r w:rsidRPr="00FE2B4B">
        <w:t>Licensing/Regulatory Information</w:t>
      </w:r>
    </w:p>
    <w:p w:rsidR="00000000" w:rsidRPr="00FE2B4B" w:rsidP="00FE2B4B">
      <w:pPr>
        <w:pStyle w:val="BodyText"/>
      </w:pPr>
      <w:r w:rsidRPr="00FE2B4B">
        <w:t>Not applicable.</w:t>
      </w:r>
    </w:p>
    <w:p w:rsidR="00000000" w:rsidRPr="00FE2B4B" w:rsidP="00FE2B4B">
      <w:pPr>
        <w:pStyle w:val="AllowPageBreak"/>
      </w:pPr>
    </w:p>
    <w:p w:rsidR="00000000" w:rsidRPr="00FE2B4B" w:rsidP="00FE2B4B">
      <w:pPr>
        <w:pStyle w:val="Heading1"/>
      </w:pPr>
      <w:bookmarkStart w:id="5" w:name="O_509357"/>
      <w:bookmarkEnd w:id="5"/>
      <w:r w:rsidRPr="00FE2B4B">
        <w:t>Pre-Requisites</w:t>
      </w:r>
    </w:p>
    <w:p w:rsidR="00000000" w:rsidRPr="00FE2B4B" w:rsidP="00FE2B4B">
      <w:pPr>
        <w:pStyle w:val="BodyText"/>
      </w:pPr>
      <w:r w:rsidRPr="00FE2B4B">
        <w:t>Not applicable.</w:t>
      </w:r>
    </w:p>
    <w:p w:rsidR="00000000" w:rsidRPr="00FE2B4B" w:rsidP="00FE2B4B">
      <w:pPr>
        <w:pStyle w:val="AllowPageBreak"/>
      </w:pPr>
    </w:p>
    <w:p w:rsidR="00000000" w:rsidRPr="00FE2B4B" w:rsidP="00FE2B4B">
      <w:pPr>
        <w:pStyle w:val="Heading1"/>
      </w:pPr>
      <w:bookmarkStart w:id="6" w:name="O_509361"/>
      <w:bookmarkEnd w:id="6"/>
      <w:r w:rsidRPr="00FE2B4B">
        <w:t>Employability Skills Information</w:t>
      </w:r>
    </w:p>
    <w:p w:rsidR="00000000" w:rsidRPr="00FE2B4B" w:rsidP="00FE2B4B">
      <w:pPr>
        <w:pStyle w:val="BodyText"/>
      </w:pPr>
      <w:r w:rsidRPr="00FE2B4B">
        <w:t>This unit contains employability skills.</w:t>
      </w:r>
    </w:p>
    <w:p w:rsidR="00000000" w:rsidRPr="00FE2B4B" w:rsidP="00FE2B4B">
      <w:pPr>
        <w:pStyle w:val="AllowPageBreak"/>
      </w:pPr>
    </w:p>
    <w:p w:rsidR="00000000" w:rsidRPr="00FE2B4B" w:rsidP="00FE2B4B">
      <w:pPr>
        <w:pStyle w:val="Heading1"/>
      </w:pPr>
      <w:bookmarkStart w:id="7" w:name="O_509362"/>
      <w:bookmarkEnd w:id="7"/>
      <w:r w:rsidRPr="00FE2B4B">
        <w:t>Elements and Performance Criteria Pre-Con</w:t>
      </w:r>
      <w:r w:rsidRPr="00FE2B4B">
        <w:t>tent</w:t>
      </w:r>
    </w:p>
    <w:tbl>
      <w:tblPr>
        <w:tblW w:w="0" w:type="auto"/>
        <w:tblLayout w:type="fixed"/>
        <w:tblCellMar>
          <w:left w:w="62" w:type="dxa"/>
          <w:right w:w="62" w:type="dxa"/>
        </w:tblCellMar>
        <w:tblLook w:val="0000"/>
      </w:tblPr>
      <w:tblGrid>
        <w:gridCol w:w="3060"/>
        <w:gridCol w:w="5580"/>
      </w:tblGrid>
      <w:tr w:rsidTr="00E05E7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E2B4B">
            <w:pPr>
              <w:pStyle w:val="BodyText"/>
              <w:rPr>
                <w:lang w:val="en-NZ"/>
              </w:rPr>
            </w:pPr>
            <w:r w:rsidRPr="00FE2B4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FE2B4B" w:rsidP="00FE2B4B">
            <w:pPr>
              <w:pStyle w:val="BodyText"/>
            </w:pPr>
            <w:r w:rsidRPr="00FE2B4B">
              <w:t xml:space="preserve">Performance Criteria describe the required performance needed to demonstrate achievement of the element. Where </w:t>
            </w:r>
            <w:r w:rsidRPr="00FE2B4B">
              <w:rPr>
                <w:rStyle w:val="BoldandItalics"/>
              </w:rPr>
              <w:t>bold italicised</w:t>
            </w:r>
            <w:r w:rsidRPr="00FE2B4B">
              <w:t xml:space="preserve"> text is used, further information is detailed in the Requi</w:t>
            </w:r>
            <w:r w:rsidRPr="00FE2B4B">
              <w:t>red Skills and Knowledge and/or the Range Statement. Assessment of performance is to be consistent with the Evidence Guide.</w:t>
            </w:r>
          </w:p>
        </w:tc>
      </w:tr>
    </w:tbl>
    <w:p w:rsidR="00000000" w:rsidRPr="00FE2B4B" w:rsidP="00FE2B4B">
      <w:pPr>
        <w:pStyle w:val="BodyText"/>
      </w:pPr>
    </w:p>
    <w:p w:rsidR="00000000" w:rsidRPr="00FE2B4B" w:rsidP="00FE2B4B">
      <w:pPr>
        <w:pStyle w:val="AllowPageBreak"/>
      </w:pPr>
    </w:p>
    <w:p w:rsidR="00000000" w:rsidRPr="00FE2B4B" w:rsidP="00FE2B4B">
      <w:pPr>
        <w:pStyle w:val="Heading1"/>
      </w:pPr>
      <w:bookmarkStart w:id="8" w:name="O_509363"/>
      <w:bookmarkEnd w:id="8"/>
      <w:r w:rsidRPr="00FE2B4B">
        <w:t>Elements and Performance Criteria</w:t>
      </w:r>
    </w:p>
    <w:tbl>
      <w:tblPr>
        <w:tblW w:w="0" w:type="auto"/>
        <w:tblLayout w:type="fixed"/>
        <w:tblCellMar>
          <w:left w:w="62" w:type="dxa"/>
          <w:right w:w="62" w:type="dxa"/>
        </w:tblCellMar>
        <w:tblLook w:val="0000"/>
      </w:tblPr>
      <w:tblGrid>
        <w:gridCol w:w="3060"/>
        <w:gridCol w:w="5580"/>
      </w:tblGrid>
      <w:tr w:rsidTr="00FE2B4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E2B4B" w:rsidP="00FE2B4B">
            <w:pPr>
              <w:pStyle w:val="BodyText"/>
            </w:pPr>
            <w:r w:rsidRPr="00FE2B4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E2B4B">
            <w:pPr>
              <w:pStyle w:val="BodyText"/>
              <w:rPr>
                <w:lang w:val="en-NZ"/>
              </w:rPr>
            </w:pPr>
            <w:r w:rsidRPr="00FE2B4B">
              <w:rPr>
                <w:rStyle w:val="SpecialBold"/>
              </w:rPr>
              <w:t>PERFORMANCE CRITERIA</w:t>
            </w:r>
          </w:p>
        </w:tc>
      </w:tr>
      <w:tr w:rsidTr="00FE2B4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E2B4B">
            <w:pPr>
              <w:pStyle w:val="List"/>
              <w:rPr>
                <w:lang w:val="en-NZ"/>
              </w:rPr>
            </w:pPr>
            <w:r w:rsidRPr="00FE2B4B">
              <w:t>1.</w:t>
            </w:r>
            <w:r w:rsidRPr="00FE2B4B">
              <w:tab/>
            </w:r>
            <w:r w:rsidRPr="00FE2B4B">
              <w:rPr>
                <w:rStyle w:val="SpecialBold"/>
              </w:rPr>
              <w:t>Determine risks</w:t>
            </w:r>
          </w:p>
        </w:tc>
        <w:tc>
          <w:tcPr>
            <w:tcW w:w="5580" w:type="dxa"/>
            <w:tcBorders>
              <w:top w:val="nil"/>
              <w:left w:val="nil"/>
              <w:bottom w:val="nil"/>
              <w:right w:val="nil"/>
            </w:tcBorders>
            <w:tcMar>
              <w:top w:w="0" w:type="dxa"/>
              <w:left w:w="62" w:type="dxa"/>
              <w:bottom w:w="0" w:type="dxa"/>
              <w:right w:w="62" w:type="dxa"/>
            </w:tcMar>
          </w:tcPr>
          <w:p w:rsidR="00000000" w:rsidRPr="00FE2B4B" w:rsidP="00FE2B4B">
            <w:pPr>
              <w:pStyle w:val="List"/>
            </w:pPr>
            <w:r w:rsidRPr="00FE2B4B">
              <w:t>1.1</w:t>
            </w:r>
            <w:r w:rsidRPr="00FE2B4B">
              <w:tab/>
            </w:r>
            <w:r w:rsidRPr="00FE2B4B">
              <w:rPr>
                <w:rStyle w:val="BoldandItalics"/>
              </w:rPr>
              <w:t>Technical risks</w:t>
            </w:r>
            <w:r w:rsidRPr="00FE2B4B">
              <w:t xml:space="preserve"> are identified, documented and analyse, in consultation with stakeholders and a higher technical/engineering authority, as a basis for risk planning.</w:t>
            </w:r>
          </w:p>
          <w:p w:rsidR="00000000" w:rsidRPr="00FE2B4B" w:rsidP="00FE2B4B">
            <w:pPr>
              <w:pStyle w:val="List"/>
            </w:pPr>
            <w:r w:rsidRPr="00FE2B4B">
              <w:t>1.2</w:t>
            </w:r>
            <w:r w:rsidRPr="00FE2B4B">
              <w:tab/>
              <w:t xml:space="preserve">Within </w:t>
            </w:r>
            <w:r w:rsidRPr="00FE2B4B">
              <w:rPr>
                <w:rStyle w:val="BoldandItalics"/>
              </w:rPr>
              <w:t>delegated technical/engineering authority</w:t>
            </w:r>
            <w:r w:rsidRPr="00FE2B4B">
              <w:t xml:space="preserve">, established </w:t>
            </w:r>
            <w:r w:rsidRPr="00FE2B4B">
              <w:rPr>
                <w:rStyle w:val="BoldandItalics"/>
              </w:rPr>
              <w:t>risk management techniques and tools</w:t>
            </w:r>
            <w:r w:rsidRPr="00FE2B4B">
              <w:t xml:space="preserve"> ar</w:t>
            </w:r>
            <w:r w:rsidRPr="00FE2B4B">
              <w:t>e used to analyse risks and assess options, and preferred risk approaches are recommended to a higher technical/engineering authority.</w:t>
            </w:r>
          </w:p>
          <w:p w:rsidR="00000000" w:rsidRPr="00FE2B4B" w:rsidP="00FE2B4B">
            <w:pPr>
              <w:pStyle w:val="List"/>
            </w:pPr>
            <w:r w:rsidRPr="00FE2B4B">
              <w:t>1.3</w:t>
            </w:r>
            <w:r w:rsidRPr="00FE2B4B">
              <w:tab/>
              <w:t>Plans are developed, agreed with stakeholders, and communicated to ensure clarity of understanding and ongoing manage</w:t>
            </w:r>
            <w:r w:rsidRPr="00FE2B4B">
              <w:t>ment of technical risk factors.</w:t>
            </w:r>
          </w:p>
          <w:p w:rsidR="00000000" w:rsidP="00FE2B4B">
            <w:pPr>
              <w:pStyle w:val="List"/>
              <w:rPr>
                <w:lang w:val="en-NZ"/>
              </w:rPr>
            </w:pPr>
            <w:r w:rsidRPr="00FE2B4B">
              <w:t>1.4</w:t>
            </w:r>
            <w:r w:rsidRPr="00FE2B4B">
              <w:tab/>
              <w:t xml:space="preserve">Designated </w:t>
            </w:r>
            <w:r w:rsidRPr="00FE2B4B">
              <w:rPr>
                <w:rStyle w:val="BoldandItalics"/>
              </w:rPr>
              <w:t>risk management processes and procedures</w:t>
            </w:r>
            <w:r w:rsidRPr="00FE2B4B">
              <w:t xml:space="preserve"> are established to enable effective management and communication of risk events, responses and results.</w:t>
            </w:r>
          </w:p>
        </w:tc>
      </w:tr>
      <w:tr w:rsidTr="00FE2B4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E2B4B">
            <w:pPr>
              <w:pStyle w:val="List"/>
              <w:rPr>
                <w:lang w:val="en-NZ"/>
              </w:rPr>
            </w:pPr>
            <w:r w:rsidRPr="00FE2B4B">
              <w:t>2.</w:t>
            </w:r>
            <w:r w:rsidRPr="00FE2B4B">
              <w:tab/>
            </w:r>
            <w:r w:rsidRPr="00FE2B4B">
              <w:rPr>
                <w:rStyle w:val="SpecialBold"/>
              </w:rPr>
              <w:t>Monitor and control risk</w:t>
            </w:r>
          </w:p>
        </w:tc>
        <w:tc>
          <w:tcPr>
            <w:tcW w:w="5580" w:type="dxa"/>
            <w:tcBorders>
              <w:top w:val="nil"/>
              <w:left w:val="nil"/>
              <w:bottom w:val="nil"/>
              <w:right w:val="nil"/>
            </w:tcBorders>
            <w:tcMar>
              <w:top w:w="0" w:type="dxa"/>
              <w:left w:w="62" w:type="dxa"/>
              <w:bottom w:w="0" w:type="dxa"/>
              <w:right w:w="62" w:type="dxa"/>
            </w:tcMar>
          </w:tcPr>
          <w:p w:rsidR="00000000" w:rsidRPr="00FE2B4B" w:rsidP="00FE2B4B">
            <w:pPr>
              <w:pStyle w:val="List"/>
            </w:pPr>
            <w:r w:rsidRPr="00FE2B4B">
              <w:t>2.1</w:t>
            </w:r>
            <w:r w:rsidRPr="00FE2B4B">
              <w:tab/>
              <w:t>Activities are managed in accor</w:t>
            </w:r>
            <w:r w:rsidRPr="00FE2B4B">
              <w:t>dance with the organisation’s Engineering Management Plan to ensure a common approach to the achievement of objectives.</w:t>
            </w:r>
          </w:p>
          <w:p w:rsidR="00000000" w:rsidRPr="00FE2B4B" w:rsidP="00FE2B4B">
            <w:pPr>
              <w:pStyle w:val="List"/>
            </w:pPr>
            <w:r w:rsidRPr="00FE2B4B">
              <w:t>2.2</w:t>
            </w:r>
            <w:r w:rsidRPr="00FE2B4B">
              <w:tab/>
              <w:t xml:space="preserve">Progress is monitored against the organisation’s Engineering Management Plan and Risk Management Plan to identify variances and </w:t>
            </w:r>
            <w:r w:rsidRPr="00FE2B4B">
              <w:rPr>
                <w:rStyle w:val="BoldandItalics"/>
              </w:rPr>
              <w:t>reco</w:t>
            </w:r>
            <w:r w:rsidRPr="00FE2B4B">
              <w:rPr>
                <w:rStyle w:val="BoldandItalics"/>
              </w:rPr>
              <w:t>mmended responses</w:t>
            </w:r>
            <w:r w:rsidRPr="00FE2B4B">
              <w:t xml:space="preserve"> to a higher technical authority for remedial action.</w:t>
            </w:r>
          </w:p>
          <w:p w:rsidR="00000000" w:rsidP="00FE2B4B">
            <w:pPr>
              <w:pStyle w:val="List"/>
              <w:rPr>
                <w:lang w:val="en-NZ"/>
              </w:rPr>
            </w:pPr>
            <w:r w:rsidRPr="00FE2B4B">
              <w:t>2.3</w:t>
            </w:r>
            <w:r w:rsidRPr="00FE2B4B">
              <w:tab/>
              <w:t>Agreed risk responses are implemented and plans are modified to reflect changing project objectives in an environment of uncertainty.</w:t>
            </w:r>
          </w:p>
        </w:tc>
      </w:tr>
      <w:tr w:rsidTr="00FE2B4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E2B4B">
            <w:pPr>
              <w:pStyle w:val="List"/>
              <w:rPr>
                <w:lang w:val="en-NZ"/>
              </w:rPr>
            </w:pPr>
            <w:r w:rsidRPr="00FE2B4B">
              <w:t>3.</w:t>
            </w:r>
            <w:r w:rsidRPr="00FE2B4B">
              <w:tab/>
            </w:r>
            <w:r w:rsidRPr="00FE2B4B">
              <w:rPr>
                <w:rStyle w:val="SpecialBold"/>
              </w:rPr>
              <w:t>Assess risk management outcomes</w:t>
            </w:r>
          </w:p>
        </w:tc>
        <w:tc>
          <w:tcPr>
            <w:tcW w:w="5580" w:type="dxa"/>
            <w:tcBorders>
              <w:top w:val="nil"/>
              <w:left w:val="nil"/>
              <w:bottom w:val="nil"/>
              <w:right w:val="nil"/>
            </w:tcBorders>
            <w:tcMar>
              <w:top w:w="0" w:type="dxa"/>
              <w:left w:w="62" w:type="dxa"/>
              <w:bottom w:w="0" w:type="dxa"/>
              <w:right w:w="62" w:type="dxa"/>
            </w:tcMar>
          </w:tcPr>
          <w:p w:rsidR="00000000" w:rsidRPr="00FE2B4B" w:rsidP="00FE2B4B">
            <w:pPr>
              <w:pStyle w:val="List"/>
            </w:pPr>
            <w:r w:rsidRPr="00FE2B4B">
              <w:t>3.1</w:t>
            </w:r>
            <w:r w:rsidRPr="00FE2B4B">
              <w:tab/>
            </w:r>
            <w:r w:rsidRPr="00FE2B4B">
              <w:t>Outcomes of technical/engineering risk management activities are reviewed to determine effectiveness of risk management processes and procedures.</w:t>
            </w:r>
          </w:p>
          <w:p w:rsidR="00000000" w:rsidRPr="00FE2B4B" w:rsidP="00FE2B4B">
            <w:pPr>
              <w:pStyle w:val="List"/>
            </w:pPr>
            <w:r w:rsidRPr="00FE2B4B">
              <w:t>3.2</w:t>
            </w:r>
            <w:r w:rsidRPr="00FE2B4B">
              <w:tab/>
              <w:t>Risk issues and recommended improvements are identified, documented and passed on to a higher authority fo</w:t>
            </w:r>
            <w:r w:rsidRPr="00FE2B4B">
              <w:t>r application.</w:t>
            </w:r>
          </w:p>
        </w:tc>
      </w:tr>
    </w:tbl>
    <w:p w:rsidR="00E05E7A" w:rsidP="00FE2B4B">
      <w:pPr>
        <w:pStyle w:val="BodyText"/>
      </w:pPr>
    </w:p>
    <w:p w:rsidR="00E05E7A" w:rsidP="00FE2B4B">
      <w:pPr>
        <w:pStyle w:val="BodyText"/>
      </w:pPr>
    </w:p>
    <w:p w:rsidR="00000000" w:rsidRPr="00FE2B4B" w:rsidP="00FE2B4B">
      <w:pPr>
        <w:pStyle w:val="Heading1"/>
      </w:pPr>
      <w:bookmarkStart w:id="9" w:name="O_509359"/>
      <w:bookmarkEnd w:id="9"/>
      <w:r w:rsidRPr="00FE2B4B">
        <w:t>Required Skills and Knowledge</w:t>
      </w:r>
    </w:p>
    <w:tbl>
      <w:tblPr>
        <w:tblW w:w="0" w:type="auto"/>
        <w:tblLayout w:type="fixed"/>
        <w:tblCellMar>
          <w:left w:w="62" w:type="dxa"/>
          <w:right w:w="62" w:type="dxa"/>
        </w:tblCellMar>
        <w:tblLook w:val="0000"/>
      </w:tblPr>
      <w:tblGrid>
        <w:gridCol w:w="8640"/>
      </w:tblGrid>
      <w:tr w:rsidTr="00E05E7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E2B4B">
            <w:pPr>
              <w:pStyle w:val="BodyText"/>
              <w:rPr>
                <w:lang w:val="en-NZ"/>
              </w:rPr>
            </w:pPr>
            <w:r w:rsidRPr="00FE2B4B">
              <w:t>This describes the essential skills and knowledge and their level, required for this unit.</w:t>
            </w:r>
          </w:p>
        </w:tc>
      </w:tr>
      <w:tr w:rsidTr="00E05E7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E2B4B">
            <w:pPr>
              <w:pStyle w:val="BodyText"/>
              <w:rPr>
                <w:lang w:val="en-NZ"/>
              </w:rPr>
            </w:pPr>
            <w:r w:rsidRPr="00FE2B4B">
              <w:rPr>
                <w:rStyle w:val="SpecialBold"/>
              </w:rPr>
              <w:t>Required Skills</w:t>
            </w:r>
          </w:p>
        </w:tc>
      </w:tr>
      <w:tr w:rsidTr="00E05E7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E2B4B" w:rsidP="00FE2B4B">
            <w:pPr>
              <w:pStyle w:val="ListBullet"/>
            </w:pPr>
            <w:r w:rsidRPr="00FE2B4B">
              <w:t xml:space="preserve">apply safety, legislative and statutory requirements relevant to technical risk </w:t>
            </w:r>
            <w:r w:rsidRPr="00FE2B4B">
              <w:t>management</w:t>
            </w:r>
          </w:p>
          <w:p w:rsidR="00000000" w:rsidRPr="00FE2B4B" w:rsidP="00FE2B4B">
            <w:pPr>
              <w:pStyle w:val="ListBullet"/>
            </w:pPr>
            <w:r w:rsidRPr="00FE2B4B">
              <w:t>apply technical risk management knowledge relevant to work being performed</w:t>
            </w:r>
          </w:p>
          <w:p w:rsidR="00000000" w:rsidRPr="00FE2B4B" w:rsidP="00FE2B4B">
            <w:pPr>
              <w:pStyle w:val="ListBullet"/>
            </w:pPr>
            <w:r w:rsidRPr="00FE2B4B">
              <w:t>interpret organisational role relevant to technical risk management</w:t>
            </w:r>
          </w:p>
          <w:p w:rsidR="00000000" w:rsidRPr="00FE2B4B" w:rsidP="00FE2B4B">
            <w:pPr>
              <w:pStyle w:val="ListBullet"/>
            </w:pPr>
            <w:r w:rsidRPr="00FE2B4B">
              <w:t xml:space="preserve">operate equipment and systems relevant to technical risk management activities </w:t>
            </w:r>
          </w:p>
          <w:p w:rsidR="00000000" w:rsidP="00FE2B4B">
            <w:pPr>
              <w:pStyle w:val="ListBullet"/>
              <w:rPr>
                <w:lang w:val="en-NZ"/>
              </w:rPr>
            </w:pPr>
            <w:r w:rsidRPr="00FE2B4B">
              <w:t>use appropriate inform</w:t>
            </w:r>
            <w:r w:rsidRPr="00FE2B4B">
              <w:t>ation technology and software</w:t>
            </w:r>
          </w:p>
        </w:tc>
      </w:tr>
      <w:tr w:rsidTr="00E05E7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E2B4B">
            <w:pPr>
              <w:pStyle w:val="BodyText"/>
              <w:rPr>
                <w:lang w:val="en-NZ"/>
              </w:rPr>
            </w:pPr>
            <w:r w:rsidRPr="00FE2B4B">
              <w:rPr>
                <w:rStyle w:val="SpecialBold"/>
              </w:rPr>
              <w:t>Required Knowledge</w:t>
            </w:r>
          </w:p>
        </w:tc>
      </w:tr>
      <w:tr w:rsidTr="00E05E7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E2B4B" w:rsidP="00FE2B4B">
            <w:pPr>
              <w:pStyle w:val="ListBullet"/>
            </w:pPr>
            <w:r w:rsidRPr="00FE2B4B">
              <w:t xml:space="preserve">appropriate risk management methodologies, their capabilities, limitations, applicability and outcomes </w:t>
            </w:r>
          </w:p>
          <w:p w:rsidR="00000000" w:rsidRPr="00FE2B4B" w:rsidP="00FE2B4B">
            <w:pPr>
              <w:pStyle w:val="ListBullet"/>
            </w:pPr>
            <w:r w:rsidRPr="00FE2B4B">
              <w:t>personal attitudes to uncertainty and risk, and how they might affect approaches to management of technical risk</w:t>
            </w:r>
          </w:p>
          <w:p w:rsidR="00000000" w:rsidRPr="00FE2B4B" w:rsidP="00FE2B4B">
            <w:pPr>
              <w:pStyle w:val="ListBullet"/>
            </w:pPr>
            <w:r w:rsidRPr="00FE2B4B">
              <w:t>place of risk management in the context of the materiel life cycle</w:t>
            </w:r>
          </w:p>
          <w:p w:rsidR="00000000" w:rsidRPr="00FE2B4B" w:rsidP="00FE2B4B">
            <w:pPr>
              <w:pStyle w:val="ListBullet"/>
            </w:pPr>
            <w:r w:rsidRPr="00FE2B4B">
              <w:t>technical regulatory framework, organisation's Engineering Management Plan a</w:t>
            </w:r>
            <w:r w:rsidRPr="00FE2B4B">
              <w:t>nd Risk Management Plan</w:t>
            </w:r>
          </w:p>
          <w:p w:rsidR="00000000" w:rsidRPr="00FE2B4B" w:rsidP="00FE2B4B">
            <w:pPr>
              <w:pStyle w:val="ListBullet"/>
            </w:pPr>
            <w:r w:rsidRPr="00FE2B4B">
              <w:t xml:space="preserve">technical risk management including application in the technical/engineering context of principles, tools, techniques, standards, and processes </w:t>
            </w:r>
          </w:p>
          <w:p w:rsidR="00000000" w:rsidRPr="00FE2B4B" w:rsidP="00FE2B4B">
            <w:pPr>
              <w:pStyle w:val="ListBullet"/>
            </w:pPr>
            <w:r w:rsidRPr="00FE2B4B">
              <w:t>uncertainty and the means of its measurement</w:t>
            </w:r>
          </w:p>
        </w:tc>
      </w:tr>
    </w:tbl>
    <w:p w:rsidR="00000000" w:rsidRPr="00FE2B4B" w:rsidP="00FE2B4B">
      <w:pPr>
        <w:pStyle w:val="BodyText"/>
      </w:pPr>
    </w:p>
    <w:p w:rsidR="00000000" w:rsidRPr="00FE2B4B" w:rsidP="00FE2B4B">
      <w:pPr>
        <w:pStyle w:val="AllowPageBreak"/>
      </w:pPr>
    </w:p>
    <w:p w:rsidR="00000000" w:rsidRPr="00FE2B4B" w:rsidP="00FE2B4B">
      <w:pPr>
        <w:pStyle w:val="Heading1"/>
      </w:pPr>
      <w:bookmarkStart w:id="10" w:name="O_509358"/>
      <w:bookmarkEnd w:id="10"/>
      <w:r w:rsidRPr="00FE2B4B">
        <w:t>Evidence Guide</w:t>
      </w:r>
    </w:p>
    <w:tbl>
      <w:tblPr>
        <w:tblW w:w="0" w:type="auto"/>
        <w:tblLayout w:type="fixed"/>
        <w:tblCellMar>
          <w:left w:w="62" w:type="dxa"/>
          <w:right w:w="62" w:type="dxa"/>
        </w:tblCellMar>
        <w:tblLook w:val="0000"/>
      </w:tblPr>
      <w:tblGrid>
        <w:gridCol w:w="3060"/>
        <w:gridCol w:w="5580"/>
      </w:tblGrid>
      <w:tr w:rsidTr="00FE2B4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E2B4B">
            <w:pPr>
              <w:pStyle w:val="BodyText"/>
              <w:rPr>
                <w:lang w:val="en-NZ"/>
              </w:rPr>
            </w:pPr>
            <w:r w:rsidRPr="00FE2B4B">
              <w:t>The evid</w:t>
            </w:r>
            <w:r w:rsidRPr="00FE2B4B">
              <w:t>ence guide provides advice on assessment and must be read in conjunction with the Performance Criteria, Required Skills and Knowledge, the Range Statement and the Assessment Guidelines for this Training Package.</w:t>
            </w:r>
          </w:p>
        </w:tc>
      </w:tr>
      <w:tr w:rsidTr="00FE2B4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E2B4B">
            <w:pPr>
              <w:pStyle w:val="BodyText"/>
              <w:rPr>
                <w:lang w:val="en-NZ"/>
              </w:rPr>
            </w:pPr>
            <w:r w:rsidRPr="00FE2B4B">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E2B4B" w:rsidP="00FE2B4B">
            <w:pPr>
              <w:pStyle w:val="BodyText"/>
            </w:pPr>
            <w:r w:rsidRPr="00FE2B4B">
              <w:t>Assessment must confirm the ability to:</w:t>
            </w:r>
          </w:p>
          <w:p w:rsidR="00000000" w:rsidRPr="00FE2B4B" w:rsidP="00FE2B4B">
            <w:pPr>
              <w:pStyle w:val="ListBullet"/>
            </w:pPr>
            <w:r w:rsidRPr="00FE2B4B">
              <w:t>adhere to relevant data collection, storage and retrieval requirements</w:t>
            </w:r>
          </w:p>
          <w:p w:rsidR="00000000" w:rsidRPr="00FE2B4B" w:rsidP="00FE2B4B">
            <w:pPr>
              <w:pStyle w:val="ListBullet"/>
            </w:pPr>
            <w:r w:rsidRPr="00FE2B4B">
              <w:t>apply knowledge of technical risk management to ass</w:t>
            </w:r>
            <w:r w:rsidRPr="00FE2B4B">
              <w:t>ist in work and to guide problem solving</w:t>
            </w:r>
          </w:p>
          <w:p w:rsidR="00000000" w:rsidRPr="00FE2B4B" w:rsidP="00FE2B4B">
            <w:pPr>
              <w:pStyle w:val="ListBullet"/>
            </w:pPr>
            <w:r w:rsidRPr="00FE2B4B">
              <w:t xml:space="preserve">identify critical indicators of technical risk and assess the risk management system’s performance appropriate to the organisational context by determining, monitoring and controlling risks; and assessing technical </w:t>
            </w:r>
            <w:r w:rsidRPr="00FE2B4B">
              <w:t>risk management outcomes</w:t>
            </w:r>
          </w:p>
          <w:p w:rsidR="00000000" w:rsidRPr="00FE2B4B" w:rsidP="00FE2B4B">
            <w:pPr>
              <w:pStyle w:val="ListBullet"/>
            </w:pPr>
            <w:r w:rsidRPr="00FE2B4B">
              <w:t>work and communicate effectively and positively with others involved in the work</w:t>
            </w:r>
          </w:p>
          <w:p w:rsidR="00000000" w:rsidRPr="00FE2B4B" w:rsidP="00FE2B4B">
            <w:pPr>
              <w:pStyle w:val="ListBullet"/>
            </w:pPr>
            <w:r w:rsidRPr="00FE2B4B">
              <w:t>apply, within authority, the requirements of the job or work role in relation to implementing, monitoring, and successfully completing risk management</w:t>
            </w:r>
            <w:r w:rsidRPr="00FE2B4B">
              <w:t xml:space="preserve"> activities; contributing to reports of results; completing work area housekeeping requirements including documenting risk management activity and process outcomes</w:t>
            </w:r>
          </w:p>
          <w:p w:rsidR="00000000" w:rsidRPr="00FE2B4B" w:rsidP="00FE2B4B">
            <w:pPr>
              <w:pStyle w:val="ListBullet"/>
            </w:pPr>
            <w:r w:rsidRPr="00FE2B4B">
              <w:t>modify activities to cater for variations in workplace context and environment</w:t>
            </w:r>
          </w:p>
          <w:p w:rsidR="00000000" w:rsidRPr="00FE2B4B" w:rsidP="00FE2B4B">
            <w:pPr>
              <w:pStyle w:val="BodyText"/>
            </w:pPr>
            <w:r w:rsidRPr="00FE2B4B">
              <w:rPr>
                <w:rStyle w:val="SpecialBold"/>
              </w:rPr>
              <w:t>Consistency i</w:t>
            </w:r>
            <w:r w:rsidRPr="00FE2B4B">
              <w:rPr>
                <w:rStyle w:val="SpecialBold"/>
              </w:rPr>
              <w:t>n performance</w:t>
            </w:r>
          </w:p>
          <w:p w:rsidR="00000000" w:rsidP="00FE2B4B">
            <w:pPr>
              <w:pStyle w:val="BodyText"/>
              <w:rPr>
                <w:lang w:val="en-NZ"/>
              </w:rPr>
            </w:pPr>
            <w:r w:rsidRPr="00FE2B4B">
              <w:t>Competency should be demonstrated over time and should be observed in a range of actual or simulated work contexts</w:t>
            </w:r>
          </w:p>
        </w:tc>
      </w:tr>
      <w:tr w:rsidTr="00FE2B4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E2B4B" w:rsidP="00FE2B4B">
            <w:pPr>
              <w:pStyle w:val="BodyText"/>
            </w:pPr>
            <w:r w:rsidRPr="00FE2B4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E2B4B" w:rsidP="00FE2B4B">
            <w:pPr>
              <w:pStyle w:val="BodyText"/>
            </w:pPr>
            <w:r w:rsidRPr="00FE2B4B">
              <w:rPr>
                <w:rStyle w:val="SpecialBold"/>
              </w:rPr>
              <w:t>Context of assessment</w:t>
            </w:r>
          </w:p>
          <w:p w:rsidR="00000000" w:rsidRPr="00FE2B4B" w:rsidP="00FE2B4B">
            <w:pPr>
              <w:pStyle w:val="BodyText"/>
            </w:pPr>
            <w:r w:rsidRPr="00FE2B4B">
              <w:t>Competency should be assessed in the workplace or simulated workplace environment.</w:t>
            </w:r>
          </w:p>
          <w:p w:rsidR="00000000" w:rsidRPr="00FE2B4B" w:rsidP="00FE2B4B">
            <w:pPr>
              <w:pStyle w:val="BodyText"/>
            </w:pPr>
            <w:r w:rsidRPr="00FE2B4B">
              <w:rPr>
                <w:rStyle w:val="SpecialBold"/>
              </w:rPr>
              <w:t>Specific resources for assessment</w:t>
            </w:r>
          </w:p>
          <w:p w:rsidR="00000000" w:rsidRPr="00FE2B4B" w:rsidP="00FE2B4B">
            <w:pPr>
              <w:pStyle w:val="BodyText"/>
            </w:pPr>
            <w:r w:rsidRPr="00FE2B4B">
              <w:t>Access is required to:</w:t>
            </w:r>
          </w:p>
          <w:p w:rsidR="00000000" w:rsidRPr="00FE2B4B" w:rsidP="00FE2B4B">
            <w:pPr>
              <w:pStyle w:val="ListBullet"/>
            </w:pPr>
            <w:r w:rsidRPr="00FE2B4B">
              <w:t xml:space="preserve">computer and relevant software </w:t>
            </w:r>
          </w:p>
          <w:p w:rsidR="00000000" w:rsidRPr="00FE2B4B" w:rsidP="00FE2B4B">
            <w:pPr>
              <w:pStyle w:val="ListBullet"/>
            </w:pPr>
            <w:r w:rsidRPr="00FE2B4B">
              <w:t>relevant legislation, guidelines, procedures and protocols</w:t>
            </w:r>
          </w:p>
          <w:p w:rsidR="00000000" w:rsidRPr="00FE2B4B" w:rsidP="00FE2B4B">
            <w:pPr>
              <w:pStyle w:val="ListBullet"/>
            </w:pPr>
            <w:r w:rsidRPr="00FE2B4B">
              <w:t xml:space="preserve">plans </w:t>
            </w:r>
          </w:p>
          <w:p w:rsidR="00000000" w:rsidRPr="00FE2B4B" w:rsidP="00FE2B4B">
            <w:pPr>
              <w:pStyle w:val="ListBullet"/>
            </w:pPr>
            <w:r w:rsidRPr="00FE2B4B">
              <w:t>workplace documen</w:t>
            </w:r>
            <w:r w:rsidRPr="00FE2B4B">
              <w:t>tation</w:t>
            </w:r>
          </w:p>
        </w:tc>
      </w:tr>
    </w:tbl>
    <w:p w:rsidR="00000000" w:rsidRPr="00FE2B4B" w:rsidP="00FE2B4B">
      <w:pPr>
        <w:pStyle w:val="ListBullet"/>
      </w:pPr>
    </w:p>
    <w:p w:rsidR="00000000" w:rsidRPr="00FE2B4B" w:rsidP="00FE2B4B">
      <w:pPr>
        <w:pStyle w:val="AllowPageBreak"/>
      </w:pPr>
    </w:p>
    <w:p w:rsidR="00000000" w:rsidRPr="00FE2B4B" w:rsidP="00FE2B4B">
      <w:pPr>
        <w:pStyle w:val="Heading1"/>
      </w:pPr>
      <w:bookmarkStart w:id="11" w:name="O_509355"/>
      <w:bookmarkEnd w:id="11"/>
      <w:r w:rsidRPr="00FE2B4B">
        <w:t>Range Statement</w:t>
      </w:r>
    </w:p>
    <w:tbl>
      <w:tblPr>
        <w:tblW w:w="0" w:type="auto"/>
        <w:tblLayout w:type="fixed"/>
        <w:tblCellMar>
          <w:left w:w="62" w:type="dxa"/>
          <w:right w:w="62" w:type="dxa"/>
        </w:tblCellMar>
        <w:tblLook w:val="0000"/>
      </w:tblPr>
      <w:tblGrid>
        <w:gridCol w:w="3060"/>
        <w:gridCol w:w="5580"/>
      </w:tblGrid>
      <w:tr w:rsidTr="00FE2B4B">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B4B">
            <w:pPr>
              <w:pStyle w:val="BodyText"/>
              <w:rPr>
                <w:lang w:val="en-NZ"/>
              </w:rPr>
            </w:pPr>
            <w:r w:rsidRPr="00FE2B4B">
              <w:t>The Range Statement relates to the Unit of Competency as a whole. It allows for different work environments and situations that may affect performance. Bold italicised wording in the Performan</w:t>
            </w:r>
            <w:r w:rsidRPr="00FE2B4B">
              <w:t>ce Criteria is detailed below.</w:t>
            </w:r>
          </w:p>
        </w:tc>
      </w:tr>
      <w:tr w:rsidTr="00FE2B4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B4B">
            <w:pPr>
              <w:pStyle w:val="BodyText"/>
              <w:rPr>
                <w:lang w:val="en-NZ"/>
              </w:rPr>
            </w:pPr>
            <w:r w:rsidRPr="00FE2B4B">
              <w:rPr>
                <w:rStyle w:val="BoldandItalics"/>
              </w:rPr>
              <w:t xml:space="preserve">Technical risks </w:t>
            </w:r>
            <w:r w:rsidRPr="00FE2B4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B4B" w:rsidP="00FE2B4B">
            <w:pPr>
              <w:pStyle w:val="ListBullet"/>
            </w:pPr>
            <w:r w:rsidRPr="00FE2B4B">
              <w:t>Actual</w:t>
            </w:r>
          </w:p>
          <w:p w:rsidR="00000000" w:rsidRPr="00FE2B4B" w:rsidP="00FE2B4B">
            <w:pPr>
              <w:pStyle w:val="ListBullet"/>
            </w:pPr>
            <w:r w:rsidRPr="00FE2B4B">
              <w:t>Likely/probable</w:t>
            </w:r>
          </w:p>
          <w:p w:rsidR="00000000" w:rsidRPr="00FE2B4B" w:rsidP="00FE2B4B">
            <w:pPr>
              <w:pStyle w:val="ListBullet"/>
            </w:pPr>
            <w:r w:rsidRPr="00FE2B4B">
              <w:t>Mention in documents associated with:</w:t>
            </w:r>
          </w:p>
          <w:p w:rsidR="00000000" w:rsidRPr="00FE2B4B" w:rsidP="00FE2B4B">
            <w:pPr>
              <w:pStyle w:val="ListBullet2"/>
            </w:pPr>
            <w:r w:rsidRPr="00FE2B4B">
              <w:t>design change</w:t>
            </w:r>
          </w:p>
          <w:p w:rsidR="00000000" w:rsidRPr="00FE2B4B" w:rsidP="00FE2B4B">
            <w:pPr>
              <w:pStyle w:val="ListBullet2"/>
            </w:pPr>
            <w:r w:rsidRPr="00FE2B4B">
              <w:t>Engineering Management Plan</w:t>
            </w:r>
          </w:p>
          <w:p w:rsidR="00000000" w:rsidRPr="00FE2B4B" w:rsidP="00FE2B4B">
            <w:pPr>
              <w:pStyle w:val="ListBullet2"/>
            </w:pPr>
            <w:r w:rsidRPr="00FE2B4B">
              <w:t>Risk Management Plan</w:t>
            </w:r>
          </w:p>
          <w:p w:rsidR="00000000" w:rsidRPr="00FE2B4B" w:rsidP="00FE2B4B">
            <w:pPr>
              <w:pStyle w:val="ListBullet2"/>
            </w:pPr>
            <w:r w:rsidRPr="00FE2B4B">
              <w:t>appropriate standards</w:t>
            </w:r>
          </w:p>
          <w:p w:rsidR="00000000" w:rsidRPr="00FE2B4B" w:rsidP="00FE2B4B">
            <w:pPr>
              <w:pStyle w:val="ListBullet"/>
            </w:pPr>
            <w:r w:rsidRPr="00FE2B4B">
              <w:t>Potential</w:t>
            </w:r>
          </w:p>
          <w:p w:rsidR="00000000" w:rsidP="00FE2B4B">
            <w:pPr>
              <w:pStyle w:val="ListBullet"/>
              <w:rPr>
                <w:lang w:val="en-NZ"/>
              </w:rPr>
            </w:pPr>
            <w:r w:rsidRPr="00FE2B4B">
              <w:t>Perceived</w:t>
            </w:r>
          </w:p>
        </w:tc>
      </w:tr>
      <w:tr w:rsidTr="00FE2B4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B4B">
            <w:pPr>
              <w:pStyle w:val="BodyText"/>
              <w:rPr>
                <w:lang w:val="en-NZ"/>
              </w:rPr>
            </w:pPr>
            <w:r w:rsidRPr="00FE2B4B">
              <w:rPr>
                <w:rStyle w:val="BoldandItalics"/>
              </w:rPr>
              <w:t xml:space="preserve">Delegated technical/engineering authority </w:t>
            </w:r>
            <w:r w:rsidRPr="00FE2B4B">
              <w:t>may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B4B" w:rsidP="00FE2B4B">
            <w:pPr>
              <w:pStyle w:val="ListBullet"/>
            </w:pPr>
            <w:r w:rsidRPr="00FE2B4B">
              <w:t>Appointed in accordance with the relevant technical regulatory framework and refers to planning and activities that may:</w:t>
            </w:r>
          </w:p>
          <w:p w:rsidR="00000000" w:rsidRPr="00FE2B4B" w:rsidP="00FE2B4B">
            <w:pPr>
              <w:pStyle w:val="ListBullet2"/>
            </w:pPr>
            <w:r w:rsidRPr="00FE2B4B">
              <w:t>be done independently within broad guidance or by taking the lead of a team</w:t>
            </w:r>
          </w:p>
          <w:p w:rsidR="00000000" w:rsidRPr="00FE2B4B" w:rsidP="00FE2B4B">
            <w:pPr>
              <w:pStyle w:val="ListBullet2"/>
            </w:pPr>
            <w:r w:rsidRPr="00FE2B4B">
              <w:t>involve</w:t>
            </w:r>
            <w:r w:rsidRPr="00FE2B4B">
              <w:t xml:space="preserve"> consultation with other team members, teams and internal stakeholders</w:t>
            </w:r>
          </w:p>
          <w:p w:rsidR="00000000" w:rsidRPr="00FE2B4B" w:rsidP="00FE2B4B">
            <w:pPr>
              <w:pStyle w:val="ListBullet2"/>
            </w:pPr>
            <w:r w:rsidRPr="00FE2B4B">
              <w:t>involve the selection, use and supervision of appropriate technical risk management methods, tools and techniques</w:t>
            </w:r>
          </w:p>
          <w:p w:rsidR="00000000" w:rsidP="00FE2B4B">
            <w:pPr>
              <w:pStyle w:val="ListBullet2"/>
              <w:rPr>
                <w:lang w:val="en-NZ"/>
              </w:rPr>
            </w:pPr>
            <w:r w:rsidRPr="00FE2B4B">
              <w:t>be conducted routinely or as changing circumstances dictate</w:t>
            </w:r>
          </w:p>
        </w:tc>
      </w:tr>
      <w:tr w:rsidTr="00FE2B4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B4B">
            <w:pPr>
              <w:pStyle w:val="BodyText"/>
              <w:rPr>
                <w:lang w:val="en-NZ"/>
              </w:rPr>
            </w:pPr>
            <w:r w:rsidRPr="00FE2B4B">
              <w:rPr>
                <w:rStyle w:val="BoldandItalics"/>
              </w:rPr>
              <w:t xml:space="preserve">Risk management techniques and tools </w:t>
            </w:r>
            <w:r w:rsidRPr="00FE2B4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B4B" w:rsidP="00FE2B4B">
            <w:pPr>
              <w:pStyle w:val="ListBullet"/>
            </w:pPr>
            <w:r w:rsidRPr="00FE2B4B">
              <w:t>Calling upon personal experience and/or subject matter experts</w:t>
            </w:r>
          </w:p>
          <w:p w:rsidR="00000000" w:rsidRPr="00FE2B4B" w:rsidP="00FE2B4B">
            <w:pPr>
              <w:pStyle w:val="ListBullet"/>
            </w:pPr>
            <w:r w:rsidRPr="00FE2B4B">
              <w:t xml:space="preserve">Conducting or supervising qualitative and/or quantitative risk analysis, such as schedule simulation, decision analysis, contingency planning </w:t>
            </w:r>
            <w:r w:rsidRPr="00FE2B4B">
              <w:t>and alternative strategy development</w:t>
            </w:r>
          </w:p>
          <w:p w:rsidR="00000000" w:rsidP="00FE2B4B">
            <w:pPr>
              <w:pStyle w:val="ListBullet"/>
              <w:rPr>
                <w:lang w:val="en-NZ"/>
              </w:rPr>
            </w:pPr>
            <w:r w:rsidRPr="00FE2B4B">
              <w:t>Using specialist risk analysis tools to assist in the decision making process</w:t>
            </w:r>
          </w:p>
        </w:tc>
      </w:tr>
      <w:tr w:rsidTr="00FE2B4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B4B">
            <w:pPr>
              <w:pStyle w:val="BodyText"/>
              <w:rPr>
                <w:lang w:val="en-NZ"/>
              </w:rPr>
            </w:pPr>
            <w:r w:rsidRPr="00FE2B4B">
              <w:rPr>
                <w:rStyle w:val="BoldandItalics"/>
              </w:rPr>
              <w:t xml:space="preserve">Risk management processes and procedures </w:t>
            </w:r>
            <w:r w:rsidRPr="00FE2B4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B4B" w:rsidP="00FE2B4B">
            <w:pPr>
              <w:pStyle w:val="ListBullet"/>
            </w:pPr>
            <w:r w:rsidRPr="00FE2B4B">
              <w:t>Communicating with stakeholders</w:t>
            </w:r>
          </w:p>
          <w:p w:rsidR="00000000" w:rsidRPr="00FE2B4B" w:rsidP="00FE2B4B">
            <w:pPr>
              <w:pStyle w:val="ListBullet"/>
            </w:pPr>
            <w:r w:rsidRPr="00FE2B4B">
              <w:t xml:space="preserve">Dispute resolution and modification procedures </w:t>
            </w:r>
          </w:p>
          <w:p w:rsidR="00000000" w:rsidRPr="00FE2B4B" w:rsidP="00FE2B4B">
            <w:pPr>
              <w:pStyle w:val="ListBullet"/>
            </w:pPr>
            <w:r w:rsidRPr="00FE2B4B">
              <w:t>Imple</w:t>
            </w:r>
            <w:r w:rsidRPr="00FE2B4B">
              <w:t>menting risk control trigger mechanisms</w:t>
            </w:r>
          </w:p>
          <w:p w:rsidR="00000000" w:rsidRPr="00FE2B4B" w:rsidP="00FE2B4B">
            <w:pPr>
              <w:pStyle w:val="ListBullet"/>
            </w:pPr>
            <w:r w:rsidRPr="00FE2B4B">
              <w:t>Measuring actual progress against plans</w:t>
            </w:r>
          </w:p>
          <w:p w:rsidR="00000000" w:rsidP="00FE2B4B">
            <w:pPr>
              <w:pStyle w:val="ListBullet"/>
              <w:rPr>
                <w:lang w:val="en-NZ"/>
              </w:rPr>
            </w:pPr>
            <w:r w:rsidRPr="00FE2B4B">
              <w:t>Recording and reporting major variance</w:t>
            </w:r>
          </w:p>
        </w:tc>
      </w:tr>
      <w:tr w:rsidTr="00FE2B4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B4B">
            <w:pPr>
              <w:pStyle w:val="BodyText"/>
              <w:rPr>
                <w:lang w:val="en-NZ"/>
              </w:rPr>
            </w:pPr>
            <w:r w:rsidRPr="00FE2B4B">
              <w:rPr>
                <w:rStyle w:val="BoldandItalics"/>
              </w:rPr>
              <w:t xml:space="preserve">Recommended responses </w:t>
            </w:r>
            <w:r w:rsidRPr="00FE2B4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B4B" w:rsidP="00FE2B4B">
            <w:pPr>
              <w:pStyle w:val="ListBullet"/>
            </w:pPr>
            <w:r w:rsidRPr="00FE2B4B">
              <w:t>In consultation with team members, section heads, managers and stakeholders</w:t>
            </w:r>
          </w:p>
          <w:p w:rsidR="00000000" w:rsidRPr="00FE2B4B" w:rsidP="00FE2B4B">
            <w:pPr>
              <w:pStyle w:val="ListBullet"/>
            </w:pPr>
            <w:r w:rsidRPr="00FE2B4B">
              <w:t>Independently or with hi</w:t>
            </w:r>
            <w:r w:rsidRPr="00FE2B4B">
              <w:t>gher authority endorsement if necessary</w:t>
            </w:r>
          </w:p>
          <w:p w:rsidR="00000000" w:rsidRPr="00FE2B4B" w:rsidP="00FE2B4B">
            <w:pPr>
              <w:pStyle w:val="ListBullet"/>
            </w:pPr>
            <w:r w:rsidRPr="00FE2B4B">
              <w:t>Regularly throughout the materiel life cycle</w:t>
            </w:r>
          </w:p>
          <w:p w:rsidR="00000000" w:rsidRPr="00FE2B4B" w:rsidP="00FE2B4B">
            <w:pPr>
              <w:pStyle w:val="ListBullet"/>
            </w:pPr>
            <w:r w:rsidRPr="00FE2B4B">
              <w:t>Taking into account internal organisational change and external environmental change</w:t>
            </w:r>
          </w:p>
        </w:tc>
      </w:tr>
    </w:tbl>
    <w:p w:rsidR="00E05E7A" w:rsidP="00FE2B4B">
      <w:pPr>
        <w:pStyle w:val="BodyText"/>
      </w:pPr>
    </w:p>
    <w:p w:rsidR="00E05E7A" w:rsidP="00FE2B4B">
      <w:pPr>
        <w:pStyle w:val="BodyText"/>
      </w:pPr>
    </w:p>
    <w:p w:rsidR="00000000" w:rsidRPr="00FE2B4B" w:rsidP="00FE2B4B">
      <w:pPr>
        <w:pStyle w:val="Heading1"/>
      </w:pPr>
      <w:bookmarkStart w:id="12" w:name="O_509354"/>
      <w:bookmarkEnd w:id="12"/>
      <w:r w:rsidRPr="00FE2B4B">
        <w:t>Unit Sector(s)</w:t>
      </w:r>
    </w:p>
    <w:p w:rsidR="00000000" w:rsidRPr="00FE2B4B" w:rsidP="00FE2B4B">
      <w:pPr>
        <w:pStyle w:val="BodyText"/>
      </w:pPr>
      <w:r w:rsidRPr="00FE2B4B">
        <w:t>Not applicable.</w:t>
      </w:r>
    </w:p>
    <w:p w:rsidR="00000000" w:rsidRPr="00FE2B4B" w:rsidP="00FE2B4B"/>
    <w:sectPr w:rsidSect="00FE2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4B" w:rsidRPr="00E05E7A" w:rsidP="00E05E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E7A" w:rsidP="00FE2B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05E7A" w:rsidP="00FE2B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E05E7A" w:rsidP="00FE2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4B" w:rsidRPr="00E05E7A" w:rsidP="00E05E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E7A" w:rsidRPr="002D2AF8" w:rsidP="00FE2B4B">
    <w:pPr>
      <w:pStyle w:val="Header"/>
      <w:framePr w:wrap="around"/>
    </w:pPr>
    <w:r>
      <w:fldChar w:fldCharType="begin"/>
    </w:r>
    <w:r>
      <w:instrText xml:space="preserve"> TITLE   \* MERGEFORMAT </w:instrText>
    </w:r>
    <w:r>
      <w:fldChar w:fldCharType="separate"/>
    </w:r>
    <w:r>
      <w:t>DEFCM311A Implement and manage technical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E05E7A" w:rsidP="00FE2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6E2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8C2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EED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B4B"/>
    <w:pPr>
      <w:spacing w:before="360" w:after="60"/>
      <w:outlineLvl w:val="0"/>
    </w:pPr>
    <w:rPr>
      <w:sz w:val="32"/>
    </w:rPr>
  </w:style>
  <w:style w:type="paragraph" w:styleId="Heading2">
    <w:name w:val="heading 2"/>
    <w:basedOn w:val="HeadingBase"/>
    <w:next w:val="BodyText"/>
    <w:link w:val="Heading2Char"/>
    <w:qFormat/>
    <w:rsid w:val="00FE2B4B"/>
    <w:pPr>
      <w:keepLines/>
      <w:spacing w:before="240" w:after="120"/>
      <w:outlineLvl w:val="1"/>
    </w:pPr>
    <w:rPr>
      <w:sz w:val="28"/>
      <w:szCs w:val="40"/>
    </w:rPr>
  </w:style>
  <w:style w:type="paragraph" w:styleId="Heading3">
    <w:name w:val="heading 3"/>
    <w:basedOn w:val="HeadingBase"/>
    <w:next w:val="BodyText"/>
    <w:link w:val="Heading3Char"/>
    <w:qFormat/>
    <w:rsid w:val="00FE2B4B"/>
    <w:pPr>
      <w:spacing w:before="180" w:after="120"/>
      <w:outlineLvl w:val="2"/>
    </w:pPr>
    <w:rPr>
      <w:spacing w:val="-10"/>
      <w:kern w:val="32"/>
    </w:rPr>
  </w:style>
  <w:style w:type="paragraph" w:styleId="Heading4">
    <w:name w:val="heading 4"/>
    <w:basedOn w:val="HeadingBase"/>
    <w:next w:val="BodyText"/>
    <w:link w:val="Heading4Char"/>
    <w:qFormat/>
    <w:rsid w:val="00FE2B4B"/>
    <w:pPr>
      <w:spacing w:before="160" w:after="120"/>
      <w:outlineLvl w:val="3"/>
    </w:pPr>
    <w:rPr>
      <w:sz w:val="22"/>
    </w:rPr>
  </w:style>
  <w:style w:type="paragraph" w:styleId="Heading5">
    <w:name w:val="heading 5"/>
    <w:basedOn w:val="HeadingBase"/>
    <w:next w:val="Normal"/>
    <w:link w:val="Heading5Char"/>
    <w:qFormat/>
    <w:rsid w:val="00FE2B4B"/>
    <w:pPr>
      <w:spacing w:before="80"/>
      <w:outlineLvl w:val="4"/>
    </w:pPr>
    <w:rPr>
      <w:color w:val="918585"/>
      <w:sz w:val="20"/>
    </w:rPr>
  </w:style>
  <w:style w:type="paragraph" w:styleId="Heading6">
    <w:name w:val="heading 6"/>
    <w:basedOn w:val="HeadingBase"/>
    <w:next w:val="Normal"/>
    <w:link w:val="Heading6Char"/>
    <w:qFormat/>
    <w:rsid w:val="00FE2B4B"/>
    <w:pPr>
      <w:spacing w:before="60"/>
      <w:outlineLvl w:val="5"/>
    </w:pPr>
    <w:rPr>
      <w:color w:val="918585"/>
      <w:sz w:val="20"/>
    </w:rPr>
  </w:style>
  <w:style w:type="paragraph" w:styleId="Heading7">
    <w:name w:val="heading 7"/>
    <w:basedOn w:val="Normal"/>
    <w:next w:val="Normal"/>
    <w:link w:val="Heading7Char"/>
    <w:qFormat/>
    <w:rsid w:val="00FE2B4B"/>
    <w:pPr>
      <w:ind w:left="720"/>
      <w:outlineLvl w:val="6"/>
    </w:pPr>
    <w:rPr>
      <w:i/>
    </w:rPr>
  </w:style>
  <w:style w:type="paragraph" w:styleId="Heading8">
    <w:name w:val="heading 8"/>
    <w:basedOn w:val="Normal"/>
    <w:next w:val="Normal"/>
    <w:link w:val="Heading8Char"/>
    <w:qFormat/>
    <w:rsid w:val="00FE2B4B"/>
    <w:pPr>
      <w:ind w:left="720"/>
      <w:outlineLvl w:val="7"/>
    </w:pPr>
    <w:rPr>
      <w:i/>
    </w:rPr>
  </w:style>
  <w:style w:type="paragraph" w:styleId="Heading9">
    <w:name w:val="heading 9"/>
    <w:basedOn w:val="Normal"/>
    <w:next w:val="Normal"/>
    <w:link w:val="Heading9Char"/>
    <w:qFormat/>
    <w:rsid w:val="00FE2B4B"/>
    <w:pPr>
      <w:ind w:left="720"/>
      <w:outlineLvl w:val="8"/>
    </w:pPr>
    <w:rPr>
      <w:i/>
    </w:rPr>
  </w:style>
  <w:style w:type="character" w:default="1" w:styleId="DefaultParagraphFont">
    <w:name w:val="Default Paragraph Font"/>
    <w:uiPriority w:val="1"/>
    <w:unhideWhenUsed/>
    <w:rsid w:val="00FE2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B4B"/>
  </w:style>
  <w:style w:type="character" w:customStyle="1" w:styleId="Heading1Char">
    <w:name w:val="Heading 1 Char"/>
    <w:basedOn w:val="DefaultParagraphFont"/>
    <w:link w:val="Heading1"/>
    <w:rsid w:val="00FE2B4B"/>
    <w:rPr>
      <w:rFonts w:ascii="Times New Roman" w:eastAsia="Times New Roman" w:hAnsi="Times New Roman" w:cs="Times New Roman"/>
      <w:b/>
      <w:sz w:val="32"/>
      <w:szCs w:val="20"/>
      <w:lang w:eastAsia="en-US"/>
    </w:rPr>
  </w:style>
  <w:style w:type="paragraph" w:styleId="BodyText">
    <w:name w:val="Body Text"/>
    <w:basedOn w:val="Normal"/>
    <w:link w:val="BodyTextChar"/>
    <w:rsid w:val="00FE2B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B4B"/>
    <w:rPr>
      <w:rFonts w:ascii="Times New Roman" w:eastAsia="Times New Roman" w:hAnsi="Times New Roman" w:cs="Times New Roman"/>
      <w:sz w:val="24"/>
      <w:lang w:eastAsia="en-US"/>
    </w:rPr>
  </w:style>
  <w:style w:type="paragraph" w:styleId="List">
    <w:name w:val="List"/>
    <w:basedOn w:val="BodyText"/>
    <w:next w:val="BodyText"/>
    <w:rsid w:val="00FE2B4B"/>
    <w:pPr>
      <w:tabs>
        <w:tab w:val="left" w:pos="340"/>
      </w:tabs>
      <w:spacing w:before="60" w:after="60"/>
      <w:ind w:left="340" w:hanging="340"/>
    </w:pPr>
  </w:style>
  <w:style w:type="paragraph" w:styleId="ListBullet">
    <w:name w:val="List Bullet"/>
    <w:basedOn w:val="List"/>
    <w:rsid w:val="00FE2B4B"/>
    <w:pPr>
      <w:numPr>
        <w:numId w:val="13"/>
      </w:numPr>
      <w:tabs>
        <w:tab w:val="clear" w:pos="340"/>
      </w:tabs>
      <w:spacing w:before="40" w:after="40"/>
    </w:pPr>
  </w:style>
  <w:style w:type="character" w:customStyle="1" w:styleId="SpecialBold">
    <w:name w:val="Special Bold"/>
    <w:basedOn w:val="DefaultParagraphFont"/>
    <w:rsid w:val="00FE2B4B"/>
    <w:rPr>
      <w:b/>
      <w:spacing w:val="0"/>
    </w:rPr>
  </w:style>
  <w:style w:type="paragraph" w:styleId="ListBullet2">
    <w:name w:val="List Bullet 2"/>
    <w:basedOn w:val="List2"/>
    <w:rsid w:val="00FE2B4B"/>
    <w:pPr>
      <w:numPr>
        <w:numId w:val="14"/>
      </w:numPr>
      <w:tabs>
        <w:tab w:val="clear" w:pos="680"/>
      </w:tabs>
    </w:pPr>
  </w:style>
  <w:style w:type="paragraph" w:customStyle="1" w:styleId="SuperHeading">
    <w:name w:val="SuperHeading"/>
    <w:basedOn w:val="Normal"/>
    <w:rsid w:val="00FE2B4B"/>
    <w:pPr>
      <w:spacing w:before="240" w:after="120"/>
      <w:outlineLvl w:val="0"/>
    </w:pPr>
    <w:rPr>
      <w:rFonts w:ascii="Times New Roman" w:hAnsi="Times New Roman"/>
      <w:b/>
      <w:sz w:val="32"/>
    </w:rPr>
  </w:style>
  <w:style w:type="paragraph" w:customStyle="1" w:styleId="AllowPageBreak">
    <w:name w:val="AllowPageBreak"/>
    <w:rsid w:val="00FE2B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2B4B"/>
    <w:pPr>
      <w:tabs>
        <w:tab w:val="left" w:pos="680"/>
      </w:tabs>
      <w:spacing w:before="60" w:after="60"/>
      <w:ind w:left="680" w:hanging="340"/>
    </w:pPr>
  </w:style>
  <w:style w:type="character" w:customStyle="1" w:styleId="BoldandItalics">
    <w:name w:val="Bold and Italics"/>
    <w:qFormat/>
    <w:rsid w:val="00FE2B4B"/>
    <w:rPr>
      <w:b/>
      <w:i/>
      <w:u w:val="none"/>
    </w:rPr>
  </w:style>
  <w:style w:type="character" w:customStyle="1" w:styleId="Heading2Char">
    <w:name w:val="Heading 2 Char"/>
    <w:basedOn w:val="DefaultParagraphFont"/>
    <w:link w:val="Heading2"/>
    <w:rsid w:val="00FE2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B4B"/>
    <w:rPr>
      <w:rFonts w:ascii="Courier New" w:eastAsia="Times New Roman" w:hAnsi="Courier New" w:cs="Times New Roman"/>
      <w:i/>
      <w:szCs w:val="20"/>
      <w:lang w:eastAsia="en-US"/>
    </w:rPr>
  </w:style>
  <w:style w:type="paragraph" w:customStyle="1" w:styleId="HeadingBase">
    <w:name w:val="Heading Base"/>
    <w:rsid w:val="00FE2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B4B"/>
    <w:pPr>
      <w:tabs>
        <w:tab w:val="right" w:leader="dot" w:pos="9072"/>
      </w:tabs>
      <w:ind w:left="567"/>
    </w:pPr>
    <w:rPr>
      <w:szCs w:val="22"/>
    </w:rPr>
  </w:style>
  <w:style w:type="paragraph" w:customStyle="1" w:styleId="TOCBase">
    <w:name w:val="TOC Base"/>
    <w:rsid w:val="00FE2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B4B"/>
    <w:pPr>
      <w:tabs>
        <w:tab w:val="right" w:leader="dot" w:pos="9072"/>
      </w:tabs>
      <w:spacing w:before="40" w:after="40"/>
      <w:ind w:left="284"/>
    </w:pPr>
    <w:rPr>
      <w:rFonts w:ascii="Times New Roman" w:hAnsi="Times New Roman"/>
    </w:rPr>
  </w:style>
  <w:style w:type="paragraph" w:styleId="TOC1">
    <w:name w:val="toc 1"/>
    <w:basedOn w:val="TOCBase"/>
    <w:next w:val="Normal"/>
    <w:rsid w:val="00FE2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B4B"/>
    <w:rPr>
      <w:rFonts w:ascii="Times New Roman" w:eastAsia="Times New Roman" w:hAnsi="Times New Roman" w:cs="Times New Roman"/>
      <w:sz w:val="16"/>
      <w:lang w:eastAsia="en-US"/>
    </w:rPr>
  </w:style>
  <w:style w:type="paragraph" w:styleId="Title">
    <w:name w:val="Title"/>
    <w:basedOn w:val="HeadingBase"/>
    <w:link w:val="TitleChar"/>
    <w:qFormat/>
    <w:rsid w:val="00FE2B4B"/>
    <w:pPr>
      <w:spacing w:before="5040"/>
      <w:jc w:val="center"/>
    </w:pPr>
    <w:rPr>
      <w:sz w:val="48"/>
      <w:szCs w:val="72"/>
      <w:lang w:val="en-US"/>
    </w:rPr>
  </w:style>
  <w:style w:type="character" w:customStyle="1" w:styleId="TitleChar">
    <w:name w:val="Title Char"/>
    <w:basedOn w:val="DefaultParagraphFont"/>
    <w:link w:val="Title"/>
    <w:rsid w:val="00FE2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B4B"/>
    <w:pPr>
      <w:tabs>
        <w:tab w:val="left" w:pos="3600"/>
        <w:tab w:val="left" w:pos="3958"/>
      </w:tabs>
    </w:pPr>
  </w:style>
  <w:style w:type="paragraph" w:customStyle="1" w:styleId="Note">
    <w:name w:val="Note"/>
    <w:basedOn w:val="BodyText"/>
    <w:rsid w:val="00FE2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B4B"/>
    <w:pPr>
      <w:framePr w:wrap="auto" w:hAnchor="text" w:y="6049"/>
    </w:pPr>
    <w:rPr>
      <w:color w:val="000000"/>
      <w:sz w:val="40"/>
    </w:rPr>
  </w:style>
  <w:style w:type="paragraph" w:customStyle="1" w:styleId="TOCTitle">
    <w:name w:val="TOCTitle"/>
    <w:basedOn w:val="Heading1"/>
    <w:rsid w:val="00FE2B4B"/>
    <w:pPr>
      <w:spacing w:after="240"/>
      <w:jc w:val="center"/>
      <w:outlineLvl w:val="9"/>
    </w:pPr>
    <w:rPr>
      <w:caps/>
    </w:rPr>
  </w:style>
  <w:style w:type="paragraph" w:customStyle="1" w:styleId="Version">
    <w:name w:val="Version"/>
    <w:rsid w:val="00FE2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B4B"/>
    <w:pPr>
      <w:keepNext w:val="0"/>
      <w:tabs>
        <w:tab w:val="right" w:pos="4176"/>
      </w:tabs>
      <w:ind w:left="198" w:hanging="198"/>
    </w:pPr>
    <w:rPr>
      <w:rFonts w:ascii="Garamond" w:hAnsi="Garamond"/>
    </w:rPr>
  </w:style>
  <w:style w:type="paragraph" w:styleId="IndexHeading">
    <w:name w:val="index heading"/>
    <w:basedOn w:val="Normal"/>
    <w:next w:val="Index1"/>
    <w:semiHidden/>
    <w:rsid w:val="00FE2B4B"/>
    <w:pPr>
      <w:spacing w:before="120" w:after="120"/>
    </w:pPr>
    <w:rPr>
      <w:rFonts w:ascii="Arial" w:hAnsi="Arial"/>
      <w:b/>
      <w:color w:val="918585"/>
      <w:sz w:val="24"/>
    </w:rPr>
  </w:style>
  <w:style w:type="paragraph" w:styleId="Header">
    <w:name w:val="header"/>
    <w:basedOn w:val="Normal"/>
    <w:link w:val="HeaderChar"/>
    <w:rsid w:val="00FE2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B4B"/>
    <w:rPr>
      <w:rFonts w:ascii="Times New Roman" w:eastAsia="Times New Roman" w:hAnsi="Times New Roman" w:cs="Times New Roman"/>
      <w:sz w:val="16"/>
      <w:szCs w:val="20"/>
      <w:lang w:val="en-GB" w:eastAsia="en-US"/>
    </w:rPr>
  </w:style>
  <w:style w:type="paragraph" w:customStyle="1" w:styleId="Chapter">
    <w:name w:val="Chapter"/>
    <w:basedOn w:val="Normal"/>
    <w:rsid w:val="00FE2B4B"/>
    <w:pPr>
      <w:spacing w:before="240"/>
    </w:pPr>
    <w:rPr>
      <w:rFonts w:ascii="Times New Roman" w:hAnsi="Times New Roman"/>
      <w:smallCaps/>
      <w:spacing w:val="80"/>
      <w:sz w:val="28"/>
    </w:rPr>
  </w:style>
  <w:style w:type="paragraph" w:customStyle="1" w:styleId="InChapter">
    <w:name w:val="InChapter"/>
    <w:basedOn w:val="Heading3"/>
    <w:rsid w:val="00FE2B4B"/>
    <w:pPr>
      <w:spacing w:after="240"/>
      <w:outlineLvl w:val="9"/>
    </w:pPr>
    <w:rPr>
      <w:noProof/>
    </w:rPr>
  </w:style>
  <w:style w:type="paragraph" w:styleId="Index2">
    <w:name w:val="index 2"/>
    <w:basedOn w:val="Normal"/>
    <w:next w:val="Normal"/>
    <w:semiHidden/>
    <w:rsid w:val="00FE2B4B"/>
    <w:pPr>
      <w:tabs>
        <w:tab w:val="right" w:pos="4176"/>
      </w:tabs>
      <w:ind w:left="568" w:hanging="284"/>
    </w:pPr>
    <w:rPr>
      <w:rFonts w:ascii="Garamond" w:hAnsi="Garamond"/>
    </w:rPr>
  </w:style>
  <w:style w:type="paragraph" w:customStyle="1" w:styleId="Byline">
    <w:name w:val="Byline"/>
    <w:rsid w:val="00FE2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B4B"/>
    <w:pPr>
      <w:tabs>
        <w:tab w:val="clear" w:pos="3600"/>
        <w:tab w:val="clear" w:pos="3958"/>
      </w:tabs>
      <w:jc w:val="right"/>
    </w:pPr>
  </w:style>
  <w:style w:type="character" w:styleId="Emphasis">
    <w:name w:val="Emphasis"/>
    <w:basedOn w:val="DefaultParagraphFont"/>
    <w:qFormat/>
    <w:rsid w:val="00FE2B4B"/>
    <w:rPr>
      <w:i/>
    </w:rPr>
  </w:style>
  <w:style w:type="paragraph" w:styleId="Caption">
    <w:name w:val="caption"/>
    <w:basedOn w:val="BodyText"/>
    <w:next w:val="Normal"/>
    <w:qFormat/>
    <w:rsid w:val="00FE2B4B"/>
    <w:pPr>
      <w:framePr w:w="2268" w:hSpace="181" w:vSpace="181" w:wrap="around" w:vAnchor="text" w:hAnchor="page" w:x="1135" w:y="285" w:anchorLock="1"/>
    </w:pPr>
    <w:rPr>
      <w:i/>
    </w:rPr>
  </w:style>
  <w:style w:type="paragraph" w:customStyle="1" w:styleId="MiniTOCTitle">
    <w:name w:val="MiniTOCTitle"/>
    <w:basedOn w:val="Heading4"/>
    <w:rsid w:val="00FE2B4B"/>
    <w:pPr>
      <w:spacing w:before="240"/>
      <w:outlineLvl w:val="9"/>
    </w:pPr>
    <w:rPr>
      <w:noProof/>
      <w:sz w:val="24"/>
    </w:rPr>
  </w:style>
  <w:style w:type="paragraph" w:customStyle="1" w:styleId="MiniTOCItem">
    <w:name w:val="MiniTOCItem"/>
    <w:basedOn w:val="ListBullet"/>
    <w:rsid w:val="00FE2B4B"/>
    <w:pPr>
      <w:numPr>
        <w:numId w:val="0"/>
      </w:numPr>
      <w:tabs>
        <w:tab w:val="right" w:leader="dot" w:pos="6521"/>
      </w:tabs>
      <w:spacing w:before="0" w:after="0"/>
    </w:pPr>
  </w:style>
  <w:style w:type="paragraph" w:customStyle="1" w:styleId="TOFTitle">
    <w:name w:val="TOFTitle"/>
    <w:basedOn w:val="TOCTitle"/>
    <w:rsid w:val="00FE2B4B"/>
  </w:style>
  <w:style w:type="paragraph" w:styleId="TableofFigures">
    <w:name w:val="table of figures"/>
    <w:basedOn w:val="Normal"/>
    <w:next w:val="Normal"/>
    <w:semiHidden/>
    <w:rsid w:val="00FE2B4B"/>
    <w:pPr>
      <w:tabs>
        <w:tab w:val="right" w:leader="dot" w:pos="9072"/>
      </w:tabs>
      <w:ind w:left="970" w:hanging="403"/>
    </w:pPr>
    <w:rPr>
      <w:rFonts w:ascii="Times New Roman" w:hAnsi="Times New Roman"/>
      <w:b/>
    </w:rPr>
  </w:style>
  <w:style w:type="paragraph" w:styleId="ListNumber">
    <w:name w:val="List Number"/>
    <w:basedOn w:val="List"/>
    <w:rsid w:val="00FE2B4B"/>
    <w:pPr>
      <w:numPr>
        <w:numId w:val="11"/>
      </w:numPr>
    </w:pPr>
  </w:style>
  <w:style w:type="character" w:customStyle="1" w:styleId="WingdingSymbols">
    <w:name w:val="Wingding Symbols"/>
    <w:rsid w:val="00FE2B4B"/>
    <w:rPr>
      <w:rFonts w:ascii="Wingdings" w:hAnsi="Wingdings"/>
    </w:rPr>
  </w:style>
  <w:style w:type="paragraph" w:customStyle="1" w:styleId="TableHeading">
    <w:name w:val="Table Heading"/>
    <w:basedOn w:val="HeadingBase"/>
    <w:rsid w:val="00FE2B4B"/>
    <w:pPr>
      <w:keepLines/>
      <w:pBdr>
        <w:bottom w:val="single" w:sz="6" w:space="1" w:color="918585"/>
      </w:pBdr>
      <w:spacing w:before="240"/>
    </w:pPr>
  </w:style>
  <w:style w:type="character" w:customStyle="1" w:styleId="HotSpot">
    <w:name w:val="HotSpot"/>
    <w:rsid w:val="00FE2B4B"/>
    <w:rPr>
      <w:color w:val="0033CC"/>
      <w:u w:val="none"/>
    </w:rPr>
  </w:style>
  <w:style w:type="paragraph" w:customStyle="1" w:styleId="BodyTextRight">
    <w:name w:val="Body Text Right"/>
    <w:basedOn w:val="BodyText"/>
    <w:rsid w:val="00FE2B4B"/>
    <w:pPr>
      <w:spacing w:before="0" w:after="0"/>
      <w:jc w:val="right"/>
    </w:pPr>
  </w:style>
  <w:style w:type="paragraph" w:styleId="Index3">
    <w:name w:val="index 3"/>
    <w:basedOn w:val="ListNumber2"/>
    <w:next w:val="Normal"/>
    <w:semiHidden/>
    <w:rsid w:val="00FE2B4B"/>
    <w:pPr>
      <w:numPr>
        <w:numId w:val="0"/>
      </w:numPr>
      <w:tabs>
        <w:tab w:val="right" w:leader="dot" w:pos="4176"/>
      </w:tabs>
    </w:pPr>
  </w:style>
  <w:style w:type="paragraph" w:styleId="ListNumber2">
    <w:name w:val="List Number 2"/>
    <w:basedOn w:val="List2"/>
    <w:rsid w:val="00FE2B4B"/>
    <w:pPr>
      <w:numPr>
        <w:numId w:val="10"/>
      </w:numPr>
      <w:tabs>
        <w:tab w:val="clear" w:pos="1060"/>
      </w:tabs>
    </w:pPr>
  </w:style>
  <w:style w:type="paragraph" w:customStyle="1" w:styleId="MarginNote">
    <w:name w:val="Margin Note"/>
    <w:basedOn w:val="BodyText"/>
    <w:rsid w:val="00FE2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B4B"/>
    <w:rPr>
      <w:sz w:val="32"/>
    </w:rPr>
  </w:style>
  <w:style w:type="paragraph" w:customStyle="1" w:styleId="HeadingProcedure">
    <w:name w:val="Heading Procedure"/>
    <w:basedOn w:val="HeadingBase"/>
    <w:next w:val="Normal"/>
    <w:rsid w:val="00FE2B4B"/>
    <w:pPr>
      <w:tabs>
        <w:tab w:val="left" w:pos="0"/>
      </w:tabs>
      <w:spacing w:before="120" w:after="60"/>
    </w:pPr>
    <w:rPr>
      <w:i/>
      <w:color w:val="918585"/>
      <w:sz w:val="22"/>
    </w:rPr>
  </w:style>
  <w:style w:type="paragraph" w:customStyle="1" w:styleId="TableBodyText">
    <w:name w:val="Table Body Text"/>
    <w:basedOn w:val="BodyText"/>
    <w:rsid w:val="00FE2B4B"/>
    <w:pPr>
      <w:spacing w:before="60" w:after="60"/>
    </w:pPr>
  </w:style>
  <w:style w:type="paragraph" w:styleId="ListContinue">
    <w:name w:val="List Continue"/>
    <w:basedOn w:val="List"/>
    <w:rsid w:val="00FE2B4B"/>
    <w:pPr>
      <w:ind w:firstLine="0"/>
    </w:pPr>
  </w:style>
  <w:style w:type="paragraph" w:customStyle="1" w:styleId="ListNote">
    <w:name w:val="List Note"/>
    <w:basedOn w:val="List"/>
    <w:rsid w:val="00FE2B4B"/>
    <w:pPr>
      <w:pBdr>
        <w:top w:val="single" w:sz="6" w:space="2" w:color="918585"/>
        <w:bottom w:val="single" w:sz="6" w:space="2" w:color="918585"/>
      </w:pBdr>
      <w:tabs>
        <w:tab w:val="left" w:pos="1021"/>
      </w:tabs>
      <w:ind w:firstLine="0"/>
    </w:pPr>
  </w:style>
  <w:style w:type="paragraph" w:customStyle="1" w:styleId="Warning">
    <w:name w:val="Warning"/>
    <w:basedOn w:val="BodyText"/>
    <w:rsid w:val="00FE2B4B"/>
    <w:pPr>
      <w:shd w:val="clear" w:color="auto" w:fill="D9D9D9"/>
      <w:tabs>
        <w:tab w:val="left" w:pos="992"/>
      </w:tabs>
      <w:ind w:left="119" w:right="119"/>
    </w:pPr>
    <w:rPr>
      <w:sz w:val="20"/>
    </w:rPr>
  </w:style>
  <w:style w:type="paragraph" w:customStyle="1" w:styleId="MarginIcons">
    <w:name w:val="Margin Icons"/>
    <w:basedOn w:val="BodyText"/>
    <w:rsid w:val="00FE2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B4B"/>
    <w:rPr>
      <w:rFonts w:ascii="Courier New" w:hAnsi="Courier New"/>
    </w:rPr>
  </w:style>
  <w:style w:type="paragraph" w:customStyle="1" w:styleId="NoteBullet">
    <w:name w:val="Note Bullet"/>
    <w:basedOn w:val="Note"/>
    <w:rsid w:val="00FE2B4B"/>
    <w:pPr>
      <w:tabs>
        <w:tab w:val="clear" w:pos="680"/>
      </w:tabs>
      <w:spacing w:before="60" w:after="60"/>
    </w:pPr>
  </w:style>
  <w:style w:type="paragraph" w:customStyle="1" w:styleId="SubHeading2">
    <w:name w:val="SubHeading2"/>
    <w:basedOn w:val="HeadingBase"/>
    <w:rsid w:val="00FE2B4B"/>
    <w:pPr>
      <w:spacing w:before="240" w:after="60"/>
    </w:pPr>
    <w:rPr>
      <w:sz w:val="20"/>
    </w:rPr>
  </w:style>
  <w:style w:type="paragraph" w:customStyle="1" w:styleId="SubHeading1">
    <w:name w:val="SubHeading1"/>
    <w:basedOn w:val="HeadingBase"/>
    <w:rsid w:val="00FE2B4B"/>
    <w:pPr>
      <w:spacing w:before="240" w:after="60"/>
    </w:pPr>
    <w:rPr>
      <w:color w:val="918585"/>
      <w:sz w:val="22"/>
    </w:rPr>
  </w:style>
  <w:style w:type="paragraph" w:customStyle="1" w:styleId="SideHeading">
    <w:name w:val="Side Heading"/>
    <w:basedOn w:val="HeadingBase"/>
    <w:rsid w:val="00FE2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B4B"/>
    <w:pPr>
      <w:numPr>
        <w:numId w:val="12"/>
      </w:numPr>
    </w:pPr>
  </w:style>
  <w:style w:type="paragraph" w:styleId="PlainText">
    <w:name w:val="Plain Text"/>
    <w:basedOn w:val="Normal"/>
    <w:link w:val="PlainTextChar"/>
    <w:rsid w:val="00FE2B4B"/>
    <w:rPr>
      <w:sz w:val="20"/>
    </w:rPr>
  </w:style>
  <w:style w:type="character" w:customStyle="1" w:styleId="PlainTextChar">
    <w:name w:val="Plain Text Char"/>
    <w:basedOn w:val="DefaultParagraphFont"/>
    <w:link w:val="PlainText"/>
    <w:rsid w:val="00FE2B4B"/>
    <w:rPr>
      <w:rFonts w:ascii="Courier New" w:eastAsia="Times New Roman" w:hAnsi="Courier New" w:cs="Times New Roman"/>
      <w:sz w:val="20"/>
      <w:szCs w:val="20"/>
      <w:lang w:eastAsia="en-US"/>
    </w:rPr>
  </w:style>
  <w:style w:type="character" w:customStyle="1" w:styleId="MenuOption">
    <w:name w:val="Menu Option"/>
    <w:basedOn w:val="DefaultParagraphFont"/>
    <w:rsid w:val="00FE2B4B"/>
    <w:rPr>
      <w:b/>
      <w:smallCaps/>
    </w:rPr>
  </w:style>
  <w:style w:type="paragraph" w:customStyle="1" w:styleId="TableListNumber">
    <w:name w:val="Table List Number"/>
    <w:basedOn w:val="ListNumber"/>
    <w:rsid w:val="00FE2B4B"/>
    <w:pPr>
      <w:numPr>
        <w:numId w:val="0"/>
      </w:numPr>
    </w:pPr>
  </w:style>
  <w:style w:type="paragraph" w:styleId="TOC4">
    <w:name w:val="toc 4"/>
    <w:basedOn w:val="TOCBase"/>
    <w:next w:val="Normal"/>
    <w:semiHidden/>
    <w:rsid w:val="00FE2B4B"/>
    <w:pPr>
      <w:tabs>
        <w:tab w:val="right" w:leader="dot" w:pos="9071"/>
      </w:tabs>
      <w:ind w:left="1701"/>
    </w:pPr>
  </w:style>
  <w:style w:type="paragraph" w:customStyle="1" w:styleId="ListAlpha">
    <w:name w:val="List Alpha"/>
    <w:basedOn w:val="List"/>
    <w:rsid w:val="00FE2B4B"/>
    <w:pPr>
      <w:numPr>
        <w:numId w:val="9"/>
      </w:numPr>
    </w:pPr>
  </w:style>
  <w:style w:type="paragraph" w:customStyle="1" w:styleId="ListAlpha2">
    <w:name w:val="List Alpha 2"/>
    <w:basedOn w:val="List2"/>
    <w:rsid w:val="00FE2B4B"/>
    <w:pPr>
      <w:numPr>
        <w:numId w:val="8"/>
      </w:numPr>
    </w:pPr>
  </w:style>
  <w:style w:type="paragraph" w:styleId="List3">
    <w:name w:val="List 3"/>
    <w:basedOn w:val="BodyText"/>
    <w:rsid w:val="00FE2B4B"/>
    <w:pPr>
      <w:tabs>
        <w:tab w:val="left" w:pos="1021"/>
      </w:tabs>
      <w:spacing w:before="60" w:after="60"/>
      <w:ind w:left="1020" w:hanging="340"/>
    </w:pPr>
  </w:style>
  <w:style w:type="paragraph" w:styleId="List4">
    <w:name w:val="List 4"/>
    <w:basedOn w:val="BodyText"/>
    <w:rsid w:val="00FE2B4B"/>
    <w:pPr>
      <w:tabs>
        <w:tab w:val="left" w:pos="1361"/>
      </w:tabs>
      <w:spacing w:before="60" w:after="60"/>
      <w:ind w:left="1361" w:hanging="340"/>
    </w:pPr>
  </w:style>
  <w:style w:type="paragraph" w:styleId="List5">
    <w:name w:val="List 5"/>
    <w:basedOn w:val="BodyText"/>
    <w:rsid w:val="00FE2B4B"/>
    <w:pPr>
      <w:tabs>
        <w:tab w:val="left" w:pos="1701"/>
      </w:tabs>
      <w:spacing w:before="60" w:after="60"/>
      <w:ind w:left="1701" w:hanging="340"/>
    </w:pPr>
  </w:style>
  <w:style w:type="paragraph" w:styleId="ListBullet3">
    <w:name w:val="List Bullet 3"/>
    <w:basedOn w:val="List3"/>
    <w:rsid w:val="00FE2B4B"/>
    <w:pPr>
      <w:numPr>
        <w:numId w:val="15"/>
      </w:numPr>
      <w:tabs>
        <w:tab w:val="clear" w:pos="1021"/>
      </w:tabs>
      <w:ind w:left="1037" w:hanging="357"/>
    </w:pPr>
  </w:style>
  <w:style w:type="paragraph" w:styleId="ListBullet4">
    <w:name w:val="List Bullet 4"/>
    <w:basedOn w:val="List4"/>
    <w:rsid w:val="00FE2B4B"/>
    <w:pPr>
      <w:numPr>
        <w:numId w:val="3"/>
      </w:numPr>
    </w:pPr>
  </w:style>
  <w:style w:type="paragraph" w:styleId="ListBullet5">
    <w:name w:val="List Bullet 5"/>
    <w:basedOn w:val="List5"/>
    <w:rsid w:val="00FE2B4B"/>
    <w:pPr>
      <w:numPr>
        <w:numId w:val="4"/>
      </w:numPr>
    </w:pPr>
  </w:style>
  <w:style w:type="paragraph" w:styleId="ListContinue2">
    <w:name w:val="List Continue 2"/>
    <w:basedOn w:val="List2"/>
    <w:rsid w:val="00FE2B4B"/>
    <w:pPr>
      <w:ind w:firstLine="0"/>
    </w:pPr>
  </w:style>
  <w:style w:type="paragraph" w:styleId="ListContinue3">
    <w:name w:val="List Continue 3"/>
    <w:basedOn w:val="List3"/>
    <w:rsid w:val="00FE2B4B"/>
    <w:pPr>
      <w:ind w:left="1021" w:firstLine="0"/>
    </w:pPr>
  </w:style>
  <w:style w:type="paragraph" w:styleId="ListContinue4">
    <w:name w:val="List Continue 4"/>
    <w:basedOn w:val="List4"/>
    <w:rsid w:val="00FE2B4B"/>
    <w:pPr>
      <w:ind w:firstLine="0"/>
    </w:pPr>
  </w:style>
  <w:style w:type="paragraph" w:styleId="ListContinue5">
    <w:name w:val="List Continue 5"/>
    <w:basedOn w:val="List5"/>
    <w:rsid w:val="00FE2B4B"/>
    <w:pPr>
      <w:ind w:firstLine="0"/>
    </w:pPr>
  </w:style>
  <w:style w:type="paragraph" w:styleId="ListNumber3">
    <w:name w:val="List Number 3"/>
    <w:basedOn w:val="List3"/>
    <w:rsid w:val="00FE2B4B"/>
    <w:pPr>
      <w:numPr>
        <w:numId w:val="5"/>
      </w:numPr>
    </w:pPr>
  </w:style>
  <w:style w:type="paragraph" w:styleId="ListNumber4">
    <w:name w:val="List Number 4"/>
    <w:basedOn w:val="List4"/>
    <w:rsid w:val="00FE2B4B"/>
    <w:pPr>
      <w:numPr>
        <w:numId w:val="6"/>
      </w:numPr>
    </w:pPr>
  </w:style>
  <w:style w:type="paragraph" w:styleId="ListNumber5">
    <w:name w:val="List Number 5"/>
    <w:basedOn w:val="List5"/>
    <w:rsid w:val="00FE2B4B"/>
    <w:pPr>
      <w:numPr>
        <w:numId w:val="7"/>
      </w:numPr>
    </w:pPr>
  </w:style>
  <w:style w:type="paragraph" w:styleId="BlockText">
    <w:name w:val="Block Text"/>
    <w:basedOn w:val="Normal"/>
    <w:rsid w:val="00FE2B4B"/>
    <w:pPr>
      <w:spacing w:after="120"/>
      <w:ind w:left="1440" w:right="1440"/>
    </w:pPr>
  </w:style>
  <w:style w:type="character" w:customStyle="1" w:styleId="Subscript">
    <w:name w:val="Subscript"/>
    <w:basedOn w:val="DefaultParagraphFont"/>
    <w:rsid w:val="00FE2B4B"/>
    <w:rPr>
      <w:sz w:val="16"/>
      <w:vertAlign w:val="subscript"/>
    </w:rPr>
  </w:style>
  <w:style w:type="character" w:customStyle="1" w:styleId="Superscript">
    <w:name w:val="Superscript"/>
    <w:basedOn w:val="DefaultParagraphFont"/>
    <w:rsid w:val="00FE2B4B"/>
    <w:rPr>
      <w:sz w:val="16"/>
      <w:vertAlign w:val="superscript"/>
    </w:rPr>
  </w:style>
  <w:style w:type="character" w:customStyle="1" w:styleId="Symbols">
    <w:name w:val="Symbols"/>
    <w:basedOn w:val="DefaultParagraphFont"/>
    <w:rsid w:val="00FE2B4B"/>
    <w:rPr>
      <w:rFonts w:ascii="Symbol" w:hAnsi="Symbol"/>
    </w:rPr>
  </w:style>
  <w:style w:type="character" w:customStyle="1" w:styleId="MenuOptions">
    <w:name w:val="Menu Options"/>
    <w:basedOn w:val="DefaultParagraphFont"/>
    <w:rsid w:val="00FE2B4B"/>
    <w:rPr>
      <w:rFonts w:ascii="Arial Narrow" w:hAnsi="Arial Narrow"/>
      <w:smallCaps/>
    </w:rPr>
  </w:style>
  <w:style w:type="character" w:customStyle="1" w:styleId="Buttons">
    <w:name w:val="Buttons"/>
    <w:basedOn w:val="DefaultParagraphFont"/>
    <w:rsid w:val="00FE2B4B"/>
    <w:rPr>
      <w:b/>
    </w:rPr>
  </w:style>
  <w:style w:type="character" w:customStyle="1" w:styleId="Underlined">
    <w:name w:val="Underlined"/>
    <w:basedOn w:val="DefaultParagraphFont"/>
    <w:rsid w:val="00FE2B4B"/>
    <w:rPr>
      <w:u w:val="single"/>
    </w:rPr>
  </w:style>
  <w:style w:type="paragraph" w:customStyle="1" w:styleId="TableBodyTextRight">
    <w:name w:val="Table Body Text Right"/>
    <w:basedOn w:val="TableBodyText"/>
    <w:rsid w:val="00FE2B4B"/>
    <w:pPr>
      <w:widowControl w:val="0"/>
      <w:autoSpaceDE w:val="0"/>
      <w:autoSpaceDN w:val="0"/>
      <w:adjustRightInd w:val="0"/>
      <w:jc w:val="right"/>
    </w:pPr>
    <w:rPr>
      <w:rFonts w:cs="Arial"/>
      <w:szCs w:val="18"/>
    </w:rPr>
  </w:style>
  <w:style w:type="paragraph" w:customStyle="1" w:styleId="CopyrightText">
    <w:name w:val="Copyright Text"/>
    <w:basedOn w:val="BodyText"/>
    <w:rsid w:val="00FE2B4B"/>
    <w:rPr>
      <w:sz w:val="18"/>
    </w:rPr>
  </w:style>
  <w:style w:type="paragraph" w:customStyle="1" w:styleId="BodySmallRight">
    <w:name w:val="Body Small Right"/>
    <w:basedOn w:val="BodyTextRight"/>
    <w:rsid w:val="00FE2B4B"/>
    <w:rPr>
      <w:sz w:val="18"/>
      <w:szCs w:val="18"/>
    </w:rPr>
  </w:style>
  <w:style w:type="paragraph" w:customStyle="1" w:styleId="MarginEdition">
    <w:name w:val="Margin Edition"/>
    <w:basedOn w:val="MarginNote"/>
    <w:rsid w:val="00FE2B4B"/>
    <w:pPr>
      <w:spacing w:before="0" w:after="0"/>
    </w:pPr>
    <w:rPr>
      <w:rFonts w:ascii="Times New Roman" w:hAnsi="Times New Roman"/>
      <w:color w:val="999999"/>
    </w:rPr>
  </w:style>
  <w:style w:type="paragraph" w:customStyle="1" w:styleId="Spacer">
    <w:name w:val="Spacer"/>
    <w:basedOn w:val="Normal"/>
    <w:rsid w:val="00FE2B4B"/>
    <w:rPr>
      <w:sz w:val="2"/>
      <w:szCs w:val="2"/>
    </w:rPr>
  </w:style>
  <w:style w:type="character" w:customStyle="1" w:styleId="Small">
    <w:name w:val="Small"/>
    <w:basedOn w:val="DefaultParagraphFont"/>
    <w:rsid w:val="00FE2B4B"/>
    <w:rPr>
      <w:sz w:val="16"/>
    </w:rPr>
  </w:style>
  <w:style w:type="paragraph" w:customStyle="1" w:styleId="WideTable">
    <w:name w:val="Wide Table"/>
    <w:basedOn w:val="Normal"/>
    <w:rsid w:val="00FE2B4B"/>
    <w:pPr>
      <w:ind w:left="-1418"/>
    </w:pPr>
    <w:rPr>
      <w:sz w:val="2"/>
      <w:szCs w:val="2"/>
    </w:rPr>
  </w:style>
  <w:style w:type="character" w:styleId="PageNumber">
    <w:name w:val="page number"/>
    <w:basedOn w:val="DefaultParagraphFont"/>
    <w:rsid w:val="00FE2B4B"/>
  </w:style>
  <w:style w:type="paragraph" w:styleId="Quote">
    <w:name w:val="Quote"/>
    <w:basedOn w:val="Heading1"/>
    <w:link w:val="QuoteChar"/>
    <w:qFormat/>
    <w:rsid w:val="00FE2B4B"/>
    <w:rPr>
      <w:b w:val="0"/>
      <w:sz w:val="72"/>
      <w:szCs w:val="72"/>
      <w:lang w:val="en-NZ"/>
    </w:rPr>
  </w:style>
  <w:style w:type="character" w:customStyle="1" w:styleId="QuoteChar">
    <w:name w:val="Quote Char"/>
    <w:basedOn w:val="DefaultParagraphFont"/>
    <w:link w:val="Quote"/>
    <w:rsid w:val="00FE2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B4B"/>
    <w:pPr>
      <w:pageBreakBefore/>
    </w:pPr>
  </w:style>
  <w:style w:type="paragraph" w:customStyle="1" w:styleId="Border">
    <w:name w:val="Border"/>
    <w:basedOn w:val="Normal"/>
    <w:qFormat/>
    <w:rsid w:val="00FE2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B4B"/>
    <w:rPr>
      <w:b/>
      <w:bCs/>
      <w:i/>
      <w:iCs/>
      <w:color w:val="auto"/>
    </w:rPr>
  </w:style>
  <w:style w:type="paragraph" w:styleId="IntenseQuote">
    <w:name w:val="Intense Quote"/>
    <w:basedOn w:val="Normal"/>
    <w:next w:val="Normal"/>
    <w:link w:val="IntenseQuoteChar"/>
    <w:uiPriority w:val="30"/>
    <w:qFormat/>
    <w:rsid w:val="00FE2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B4B"/>
    <w:rPr>
      <w:smallCaps/>
      <w:color w:val="auto"/>
      <w:u w:val="single"/>
    </w:rPr>
  </w:style>
  <w:style w:type="character" w:styleId="IntenseReference">
    <w:name w:val="Intense Reference"/>
    <w:basedOn w:val="DefaultParagraphFont"/>
    <w:uiPriority w:val="32"/>
    <w:qFormat/>
    <w:rsid w:val="00FE2B4B"/>
    <w:rPr>
      <w:b/>
      <w:bCs/>
      <w:smallCaps/>
      <w:color w:val="auto"/>
      <w:spacing w:val="5"/>
      <w:u w:val="single"/>
    </w:rPr>
  </w:style>
  <w:style w:type="paragraph" w:customStyle="1" w:styleId="2ColumnHeading">
    <w:name w:val="2Column Heading"/>
    <w:basedOn w:val="BodyText"/>
    <w:qFormat/>
    <w:rsid w:val="00FE2B4B"/>
    <w:pPr>
      <w:spacing w:after="60"/>
      <w:ind w:left="-2268"/>
    </w:pPr>
    <w:rPr>
      <w:b/>
    </w:rPr>
  </w:style>
  <w:style w:type="paragraph" w:customStyle="1" w:styleId="Heading1TOC">
    <w:name w:val="Heading1 TOC"/>
    <w:basedOn w:val="Normal"/>
    <w:qFormat/>
    <w:rsid w:val="00FE2B4B"/>
    <w:pPr>
      <w:spacing w:before="240" w:after="120"/>
    </w:pPr>
    <w:rPr>
      <w:rFonts w:ascii="Times New Roman" w:hAnsi="Times New Roman"/>
      <w:b/>
      <w:sz w:val="32"/>
    </w:rPr>
  </w:style>
  <w:style w:type="paragraph" w:customStyle="1" w:styleId="Heading2TOC">
    <w:name w:val="Heading2 TOC"/>
    <w:basedOn w:val="Normal"/>
    <w:qFormat/>
    <w:rsid w:val="00FE2B4B"/>
    <w:pPr>
      <w:spacing w:before="240" w:after="60"/>
    </w:pPr>
    <w:rPr>
      <w:rFonts w:ascii="Times New Roman" w:hAnsi="Times New Roman"/>
      <w:b/>
      <w:sz w:val="28"/>
    </w:rPr>
  </w:style>
  <w:style w:type="character" w:customStyle="1" w:styleId="Underline">
    <w:name w:val="Underline"/>
    <w:basedOn w:val="DefaultParagraphFont"/>
    <w:qFormat/>
    <w:rsid w:val="00FE2B4B"/>
    <w:rPr>
      <w:u w:val="single"/>
    </w:rPr>
  </w:style>
  <w:style w:type="paragraph" w:styleId="BalloonText">
    <w:name w:val="Balloon Text"/>
    <w:basedOn w:val="Normal"/>
    <w:link w:val="BalloonTextChar"/>
    <w:rsid w:val="00FE2B4B"/>
    <w:rPr>
      <w:rFonts w:ascii="Tahoma" w:hAnsi="Tahoma" w:cs="Tahoma"/>
      <w:sz w:val="16"/>
      <w:szCs w:val="16"/>
    </w:rPr>
  </w:style>
  <w:style w:type="character" w:customStyle="1" w:styleId="BalloonTextChar">
    <w:name w:val="Balloon Text Char"/>
    <w:basedOn w:val="DefaultParagraphFont"/>
    <w:link w:val="BalloonText"/>
    <w:rsid w:val="00FE2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B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B4B"/>
    <w:rPr>
      <w:b/>
      <w:color w:val="660033"/>
      <w:spacing w:val="0"/>
    </w:rPr>
  </w:style>
  <w:style w:type="paragraph" w:customStyle="1" w:styleId="Nameditemlist">
    <w:name w:val="Named item list"/>
    <w:basedOn w:val="BodyText"/>
    <w:qFormat/>
    <w:rsid w:val="00FE2B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6972</Characters>
  <Application>Microsoft Office Word</Application>
  <DocSecurity>0</DocSecurity>
  <Lines>225</Lines>
  <Paragraphs>114</Paragraphs>
  <ScaleCrop>false</ScaleCrop>
  <Company>Author-it Software Corporation Ltd.</Company>
  <LinksUpToDate>false</LinksUpToDate>
  <CharactersWithSpaces>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DEFCM311A Implement and manage technical risk management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2013-01-25T17:09:00Z</dcterms:created>
  <dcterms:modified xsi:type="dcterms:W3CDTF">2013-01-25T17:09:00Z</dcterms:modified>
</cp:coreProperties>
</file>