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2AB0" w:rsidP="007D2AB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DEF52212 Diploma of Compliance</w:t>
      </w:r>
      <w:r>
        <w:fldChar w:fldCharType="end"/>
      </w:r>
    </w:p>
    <w:p w:rsidR="007D2AB0" w:rsidP="007D2AB0">
      <w:pPr>
        <w:pStyle w:val="Version"/>
        <w:sectPr w:rsidSect="003660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660B0" w:rsidP="003660B0">
      <w:pPr>
        <w:pStyle w:val="SuperHeading"/>
      </w:pPr>
      <w:r w:rsidRPr="003660B0">
        <w:t>DEF52212 Diploma of Compliance</w:t>
      </w:r>
    </w:p>
    <w:p w:rsidR="00000000" w:rsidRPr="003660B0" w:rsidP="003660B0">
      <w:pPr>
        <w:pStyle w:val="Heading1"/>
      </w:pPr>
      <w:bookmarkStart w:id="1" w:name="O_524880"/>
      <w:bookmarkEnd w:id="1"/>
      <w:r w:rsidRPr="003660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7D2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0B0" w:rsidP="003660B0">
            <w:pPr>
              <w:pStyle w:val="BodyText"/>
            </w:pPr>
            <w:r w:rsidRPr="003660B0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0B0" w:rsidP="003660B0">
            <w:pPr>
              <w:pStyle w:val="BodyText"/>
            </w:pPr>
            <w:r w:rsidRPr="003660B0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rPr>
                <w:rStyle w:val="SpecialBold"/>
              </w:rPr>
              <w:t xml:space="preserve"> Comments</w:t>
            </w:r>
          </w:p>
        </w:tc>
      </w:tr>
      <w:tr w:rsidTr="007D2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 xml:space="preserve">Layout adjusted. No changes to content. </w:t>
            </w:r>
          </w:p>
        </w:tc>
      </w:tr>
      <w:tr w:rsidTr="007D2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0B0" w:rsidP="003660B0">
            <w:pPr>
              <w:pStyle w:val="BodyText"/>
            </w:pPr>
            <w:r w:rsidRPr="003660B0">
              <w:t>First release.</w:t>
            </w:r>
          </w:p>
        </w:tc>
      </w:tr>
    </w:tbl>
    <w:p w:rsidR="007D2AB0" w:rsidP="003660B0">
      <w:pPr>
        <w:pStyle w:val="BodyText"/>
      </w:pPr>
    </w:p>
    <w:p w:rsidR="007D2AB0" w:rsidP="003660B0">
      <w:pPr>
        <w:pStyle w:val="BodyText"/>
      </w:pPr>
    </w:p>
    <w:p w:rsidR="00000000" w:rsidRPr="003660B0" w:rsidP="003660B0">
      <w:pPr>
        <w:pStyle w:val="Heading1"/>
      </w:pPr>
      <w:bookmarkStart w:id="2" w:name="O_524879"/>
      <w:bookmarkEnd w:id="2"/>
      <w:r w:rsidRPr="003660B0">
        <w:t>Description</w:t>
      </w:r>
    </w:p>
    <w:p w:rsidR="00000000" w:rsidRPr="003660B0" w:rsidP="003660B0">
      <w:pPr>
        <w:pStyle w:val="BodyText"/>
      </w:pPr>
      <w:r w:rsidRPr="003660B0">
        <w:t>Not applicable.</w:t>
      </w:r>
    </w:p>
    <w:p w:rsidR="00000000" w:rsidRPr="003660B0" w:rsidP="003660B0">
      <w:pPr>
        <w:pStyle w:val="AllowPageBreak"/>
      </w:pPr>
    </w:p>
    <w:p w:rsidR="00000000" w:rsidRPr="003660B0" w:rsidP="003660B0">
      <w:pPr>
        <w:pStyle w:val="Heading1"/>
      </w:pPr>
      <w:bookmarkStart w:id="3" w:name="O_524878"/>
      <w:bookmarkEnd w:id="3"/>
      <w:r w:rsidRPr="003660B0">
        <w:t>Pathways Information</w:t>
      </w:r>
    </w:p>
    <w:p w:rsidR="00000000" w:rsidRPr="003660B0" w:rsidP="003660B0">
      <w:pPr>
        <w:pStyle w:val="BodyText"/>
      </w:pPr>
      <w:r w:rsidRPr="003660B0">
        <w:t>Not applicable.</w:t>
      </w:r>
    </w:p>
    <w:p w:rsidR="00000000" w:rsidRPr="003660B0" w:rsidP="003660B0">
      <w:pPr>
        <w:pStyle w:val="AllowPageBreak"/>
      </w:pPr>
    </w:p>
    <w:p w:rsidR="00000000" w:rsidRPr="003660B0" w:rsidP="003660B0">
      <w:pPr>
        <w:pStyle w:val="Heading1"/>
      </w:pPr>
      <w:bookmarkStart w:id="4" w:name="O_524877"/>
      <w:bookmarkEnd w:id="4"/>
      <w:r w:rsidRPr="003660B0">
        <w:t>Licensing/Regulatory Information</w:t>
      </w:r>
    </w:p>
    <w:p w:rsidR="00000000" w:rsidRPr="003660B0" w:rsidP="003660B0">
      <w:pPr>
        <w:pStyle w:val="BodyText"/>
      </w:pPr>
      <w:r w:rsidRPr="003660B0">
        <w:t>Not applicable.</w:t>
      </w:r>
    </w:p>
    <w:p w:rsidR="00000000" w:rsidRPr="003660B0" w:rsidP="003660B0">
      <w:pPr>
        <w:pStyle w:val="AllowPageBreak"/>
      </w:pPr>
    </w:p>
    <w:p w:rsidR="00000000" w:rsidRPr="003660B0" w:rsidP="003660B0">
      <w:pPr>
        <w:pStyle w:val="Heading1"/>
      </w:pPr>
      <w:bookmarkStart w:id="5" w:name="O_524876"/>
      <w:bookmarkEnd w:id="5"/>
      <w:r w:rsidRPr="003660B0">
        <w:t>Entry Requirements</w:t>
      </w:r>
    </w:p>
    <w:p w:rsidR="00000000" w:rsidRPr="003660B0" w:rsidP="003660B0">
      <w:pPr>
        <w:pStyle w:val="BodyText"/>
      </w:pPr>
      <w:r w:rsidRPr="003660B0">
        <w:t>Not applicable.</w:t>
      </w:r>
    </w:p>
    <w:p w:rsidR="00000000" w:rsidRPr="003660B0" w:rsidP="003660B0">
      <w:pPr>
        <w:pStyle w:val="AllowPageBreak"/>
      </w:pPr>
    </w:p>
    <w:p w:rsidR="00000000" w:rsidRPr="003660B0" w:rsidP="003660B0">
      <w:pPr>
        <w:pStyle w:val="Heading1"/>
      </w:pPr>
      <w:bookmarkStart w:id="6" w:name="O_524875"/>
      <w:bookmarkEnd w:id="6"/>
      <w:r w:rsidRPr="003660B0">
        <w:t>Employability Skills Summary</w:t>
      </w:r>
    </w:p>
    <w:p w:rsidR="00000000" w:rsidRPr="003660B0" w:rsidP="003660B0">
      <w:pPr>
        <w:pStyle w:val="BodyText"/>
      </w:pPr>
      <w:r w:rsidRPr="003660B0">
        <w:t xml:space="preserve">Employability Skills are part of a unit of competency. </w:t>
      </w:r>
    </w:p>
    <w:p w:rsidR="00000000" w:rsidRPr="003660B0" w:rsidP="003660B0">
      <w:pPr>
        <w:pStyle w:val="BodyText"/>
      </w:pPr>
      <w:r w:rsidRPr="003660B0">
        <w:t>Employability Skills statements from a selection of units of competency from the DEF52212 Diploma of Compliance have been reproduced in the table below.</w:t>
      </w:r>
    </w:p>
    <w:p w:rsidR="00000000" w:rsidRPr="003660B0" w:rsidP="003660B0">
      <w:pPr>
        <w:pStyle w:val="BodyText"/>
      </w:pPr>
      <w:r w:rsidRPr="003660B0">
        <w:t>This table provides an example of Employability Skills for the qualification because Employability Skil</w:t>
      </w:r>
      <w:r w:rsidRPr="003660B0">
        <w:t>ls within a qualification will vary depending on the qualification packaging options.</w:t>
      </w:r>
    </w:p>
    <w:p w:rsidR="00000000" w:rsidRPr="003660B0" w:rsidP="003660B0">
      <w:pPr>
        <w:pStyle w:val="BodyText"/>
      </w:pPr>
      <w:r w:rsidRPr="003660B0">
        <w:t>Defence qualifications have core units (which must be achieved) and elective units (where there is a choice of units which must be achieved) so different Employability Sk</w:t>
      </w:r>
      <w:r w:rsidRPr="003660B0">
        <w:t>ills Summaries are possible within the one qualification, depending on the package of core units and chosen elective units.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229"/>
      </w:tblGrid>
      <w:tr w:rsidTr="007D2AB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0B0" w:rsidP="003660B0">
            <w:pPr>
              <w:pStyle w:val="BodyText"/>
            </w:pPr>
            <w:r w:rsidRPr="003660B0">
              <w:rPr>
                <w:rStyle w:val="SpecialBold"/>
              </w:rPr>
              <w:t>Employability Skill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rPr>
                <w:rStyle w:val="SpecialBold"/>
              </w:rPr>
              <w:t>Employability Skills Statement</w:t>
            </w:r>
          </w:p>
        </w:tc>
      </w:tr>
      <w:tr w:rsidTr="007D2AB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rPr>
                <w:rStyle w:val="SpecialBold"/>
              </w:rPr>
              <w:t>Communication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0B0" w:rsidP="003660B0">
            <w:pPr>
              <w:pStyle w:val="ListBullet"/>
            </w:pPr>
            <w:r w:rsidRPr="003660B0">
              <w:t>communicate with stakeholders using a range of communication styl</w:t>
            </w:r>
            <w:r w:rsidRPr="003660B0">
              <w:t>es to suit different audiences and purposes</w:t>
            </w:r>
          </w:p>
          <w:p w:rsidR="00000000" w:rsidRPr="003660B0" w:rsidP="003660B0">
            <w:pPr>
              <w:pStyle w:val="ListBullet"/>
            </w:pPr>
            <w:r w:rsidRPr="003660B0">
              <w:t>detail requirements, write recommendations and monitor plans requiring precision of expression</w:t>
            </w:r>
          </w:p>
          <w:p w:rsidR="00000000" w:rsidRPr="003660B0" w:rsidP="003660B0">
            <w:pPr>
              <w:pStyle w:val="ListBullet"/>
            </w:pPr>
            <w:r w:rsidRPr="003660B0">
              <w:t>prepare business case and obtain approvals to proceed with test development in accordance with organisational policy,</w:t>
            </w:r>
            <w:r w:rsidRPr="003660B0">
              <w:t xml:space="preserve"> procedures and guidelines</w:t>
            </w:r>
          </w:p>
          <w:p w:rsidR="00000000" w:rsidP="003660B0">
            <w:pPr>
              <w:pStyle w:val="ListBullet"/>
              <w:rPr>
                <w:lang w:val="en-NZ"/>
              </w:rPr>
            </w:pPr>
            <w:r w:rsidRPr="003660B0">
              <w:t>use language that is appropriate to audience and to report purposes and objectives</w:t>
            </w:r>
          </w:p>
        </w:tc>
      </w:tr>
      <w:tr w:rsidTr="007D2AB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rPr>
                <w:rStyle w:val="SpecialBold"/>
              </w:rPr>
              <w:t>Teamwork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0B0" w:rsidP="003660B0">
            <w:pPr>
              <w:pStyle w:val="ListBullet"/>
            </w:pPr>
            <w:r w:rsidRPr="003660B0">
              <w:t>clarify and agree on skills, roles and responsibilities of team members and stakeholders, and identify reporting requirements</w:t>
            </w:r>
          </w:p>
          <w:p w:rsidR="00000000" w:rsidP="003660B0">
            <w:pPr>
              <w:pStyle w:val="ListBullet"/>
              <w:rPr>
                <w:lang w:val="en-NZ"/>
              </w:rPr>
            </w:pPr>
            <w:r w:rsidRPr="003660B0">
              <w:t>regularly consult staff and stakeholders to discuss progress and to ensure effective results</w:t>
            </w:r>
          </w:p>
        </w:tc>
      </w:tr>
      <w:tr w:rsidTr="007D2AB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rPr>
                <w:rStyle w:val="SpecialBold"/>
              </w:rPr>
              <w:t>Problem solving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0B0" w:rsidP="003660B0">
            <w:pPr>
              <w:pStyle w:val="ListBullet"/>
            </w:pPr>
            <w:r w:rsidRPr="003660B0">
              <w:t>apply risk assessment and management techniques</w:t>
            </w:r>
          </w:p>
          <w:p w:rsidR="00000000" w:rsidRPr="003660B0" w:rsidP="003660B0">
            <w:pPr>
              <w:pStyle w:val="ListBullet"/>
            </w:pPr>
            <w:r w:rsidRPr="003660B0">
              <w:t xml:space="preserve">identify risks and apply the risk management process </w:t>
            </w:r>
          </w:p>
          <w:p w:rsidR="00000000" w:rsidRPr="003660B0" w:rsidP="003660B0">
            <w:pPr>
              <w:pStyle w:val="ListBullet"/>
            </w:pPr>
            <w:r w:rsidRPr="003660B0">
              <w:t>conduct a critical analysis of the safety c</w:t>
            </w:r>
            <w:r w:rsidRPr="003660B0">
              <w:t>ase in accordance with organisational policy and procedures</w:t>
            </w:r>
          </w:p>
          <w:p w:rsidR="00000000" w:rsidP="003660B0">
            <w:pPr>
              <w:pStyle w:val="ListBullet"/>
              <w:rPr>
                <w:lang w:val="en-NZ"/>
              </w:rPr>
            </w:pPr>
            <w:r w:rsidRPr="003660B0">
              <w:t>undertake research and analysis to identify impacts and risks, constraining factors and alternate options</w:t>
            </w:r>
          </w:p>
        </w:tc>
      </w:tr>
      <w:tr w:rsidTr="007D2AB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rPr>
                <w:rStyle w:val="SpecialBold"/>
              </w:rPr>
              <w:t>Initiative and enterprise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0B0" w:rsidP="003660B0">
            <w:pPr>
              <w:pStyle w:val="ListBullet"/>
            </w:pPr>
            <w:r w:rsidRPr="003660B0">
              <w:t>check grammar, spelling and style for accuracy and punctuation</w:t>
            </w:r>
          </w:p>
          <w:p w:rsidR="00000000" w:rsidRPr="003660B0" w:rsidP="003660B0">
            <w:pPr>
              <w:pStyle w:val="ListBullet"/>
            </w:pPr>
            <w:r w:rsidRPr="003660B0">
              <w:t>take responsibility for the quality of own output</w:t>
            </w:r>
          </w:p>
          <w:p w:rsidR="00000000" w:rsidRPr="003660B0" w:rsidP="003660B0">
            <w:pPr>
              <w:pStyle w:val="ListBullet"/>
            </w:pPr>
            <w:r w:rsidRPr="003660B0">
              <w:t>use discretion and judgement</w:t>
            </w:r>
          </w:p>
          <w:p w:rsidR="00000000" w:rsidP="003660B0">
            <w:pPr>
              <w:pStyle w:val="ListBullet"/>
              <w:rPr>
                <w:lang w:val="en-NZ"/>
              </w:rPr>
            </w:pPr>
            <w:r w:rsidRPr="003660B0">
              <w:t>use public relations strategies to promote and gain endorsement</w:t>
            </w:r>
          </w:p>
        </w:tc>
      </w:tr>
      <w:tr w:rsidTr="007D2AB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rPr>
                <w:rStyle w:val="SpecialBold"/>
              </w:rPr>
              <w:t>Planning and organising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0B0" w:rsidP="003660B0">
            <w:pPr>
              <w:pStyle w:val="ListBullet"/>
            </w:pPr>
            <w:r w:rsidRPr="003660B0">
              <w:t xml:space="preserve">define aims, objectives and impacts of the safety case, and identify resources to </w:t>
            </w:r>
            <w:r w:rsidRPr="003660B0">
              <w:t>complete quality deliverables on time and within budget</w:t>
            </w:r>
          </w:p>
          <w:p w:rsidR="00000000" w:rsidRPr="003660B0" w:rsidP="003660B0">
            <w:pPr>
              <w:pStyle w:val="ListBullet"/>
            </w:pPr>
            <w:r w:rsidRPr="003660B0">
              <w:t xml:space="preserve">determine report structure </w:t>
            </w:r>
          </w:p>
          <w:p w:rsidR="00000000" w:rsidRPr="003660B0" w:rsidP="003660B0">
            <w:pPr>
              <w:pStyle w:val="ListBullet"/>
            </w:pPr>
            <w:r w:rsidRPr="003660B0">
              <w:t>establish consultation and reporting mechanisms in accordance with organisational policy and procedures</w:t>
            </w:r>
          </w:p>
          <w:p w:rsidR="00000000" w:rsidRPr="003660B0" w:rsidP="003660B0">
            <w:pPr>
              <w:pStyle w:val="ListBullet"/>
            </w:pPr>
            <w:r w:rsidRPr="003660B0">
              <w:t>implement and monitor plans</w:t>
            </w:r>
          </w:p>
          <w:p w:rsidR="00000000" w:rsidRPr="003660B0" w:rsidP="003660B0">
            <w:pPr>
              <w:pStyle w:val="ListBullet"/>
            </w:pPr>
            <w:r w:rsidRPr="003660B0">
              <w:t xml:space="preserve">plan and establish programmed review of </w:t>
            </w:r>
            <w:r w:rsidRPr="003660B0">
              <w:t>objectives and achievement in accordance with organisational policy and procedures</w:t>
            </w:r>
          </w:p>
          <w:p w:rsidR="00000000" w:rsidP="003660B0">
            <w:pPr>
              <w:pStyle w:val="ListBullet"/>
              <w:rPr>
                <w:lang w:val="en-NZ"/>
              </w:rPr>
            </w:pPr>
            <w:r w:rsidRPr="003660B0">
              <w:t>schedule review activities</w:t>
            </w:r>
          </w:p>
        </w:tc>
      </w:tr>
      <w:tr w:rsidTr="007D2AB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rPr>
                <w:rStyle w:val="SpecialBold"/>
              </w:rPr>
              <w:t>Self</w:t>
            </w:r>
            <w:r w:rsidRPr="003660B0">
              <w:rPr>
                <w:rStyle w:val="SpecialBold"/>
              </w:rPr>
              <w:noBreakHyphen/>
              <w:t>management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ListBullet"/>
              <w:rPr>
                <w:lang w:val="en-NZ"/>
              </w:rPr>
            </w:pPr>
            <w:r w:rsidRPr="003660B0">
              <w:t>work independently or as part of a team under direct and indirect supervision</w:t>
            </w:r>
          </w:p>
        </w:tc>
      </w:tr>
      <w:tr w:rsidTr="007D2AB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rPr>
                <w:rStyle w:val="SpecialBold"/>
              </w:rPr>
              <w:t>Learning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ListBullet"/>
              <w:rPr>
                <w:lang w:val="en-NZ"/>
              </w:rPr>
            </w:pPr>
            <w:r w:rsidRPr="003660B0">
              <w:t>implement relevant legislation, organis</w:t>
            </w:r>
            <w:r w:rsidRPr="003660B0">
              <w:t>ational policies and procedures that may impact on the safety case</w:t>
            </w:r>
          </w:p>
        </w:tc>
      </w:tr>
      <w:tr w:rsidTr="007D2AB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rPr>
                <w:rStyle w:val="SpecialBold"/>
              </w:rPr>
              <w:t>Technology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0B0" w:rsidP="003660B0">
            <w:pPr>
              <w:pStyle w:val="ListBullet"/>
            </w:pPr>
            <w:r w:rsidRPr="003660B0">
              <w:t>access/prepare information electronically or in hard copy</w:t>
            </w:r>
          </w:p>
          <w:p w:rsidR="00000000" w:rsidRPr="003660B0" w:rsidP="003660B0">
            <w:pPr>
              <w:pStyle w:val="ListBullet"/>
            </w:pPr>
            <w:r w:rsidRPr="003660B0">
              <w:t>monitor required systems throughout the process in accordance with organisational policy and procedures</w:t>
            </w:r>
          </w:p>
          <w:p w:rsidR="00000000" w:rsidRPr="003660B0" w:rsidP="003660B0">
            <w:pPr>
              <w:pStyle w:val="ListBullet"/>
            </w:pPr>
            <w:r w:rsidRPr="003660B0">
              <w:t xml:space="preserve">use application software suited to the safety case assessment process </w:t>
            </w:r>
          </w:p>
          <w:p w:rsidR="00000000" w:rsidRPr="003660B0" w:rsidP="003660B0">
            <w:pPr>
              <w:pStyle w:val="ListBullet"/>
            </w:pPr>
            <w:r w:rsidRPr="003660B0">
              <w:t>use appropriate software to apply design elements to texts that satisfies report purposes and objectives</w:t>
            </w:r>
          </w:p>
        </w:tc>
      </w:tr>
    </w:tbl>
    <w:p w:rsidR="00000000" w:rsidRPr="003660B0" w:rsidP="003660B0">
      <w:pPr>
        <w:pStyle w:val="BodyText"/>
      </w:pPr>
    </w:p>
    <w:p w:rsidR="00000000" w:rsidRPr="003660B0" w:rsidP="003660B0">
      <w:pPr>
        <w:pStyle w:val="AllowPageBreak"/>
      </w:pPr>
    </w:p>
    <w:p w:rsidR="00000000" w:rsidRPr="003660B0" w:rsidP="003660B0">
      <w:pPr>
        <w:pStyle w:val="Heading1"/>
      </w:pPr>
      <w:bookmarkStart w:id="7" w:name="O_524874"/>
      <w:bookmarkEnd w:id="7"/>
      <w:r w:rsidRPr="003660B0">
        <w:t>Packaging Rules</w:t>
      </w:r>
    </w:p>
    <w:p w:rsidR="00000000" w:rsidRPr="003660B0" w:rsidP="003660B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804"/>
      </w:tblGrid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0B0" w:rsidP="003660B0">
            <w:pPr>
              <w:pStyle w:val="BodyText"/>
            </w:pPr>
            <w:r w:rsidRPr="003660B0">
              <w:t>13 units of competency are required for this qualification including:</w:t>
            </w:r>
          </w:p>
          <w:p w:rsidR="00000000" w:rsidRPr="003660B0" w:rsidP="003660B0">
            <w:pPr>
              <w:pStyle w:val="ListBullet"/>
            </w:pPr>
            <w:r w:rsidRPr="003660B0">
              <w:t>8 core units</w:t>
            </w:r>
          </w:p>
          <w:p w:rsidR="00000000" w:rsidRPr="003660B0" w:rsidP="003660B0">
            <w:pPr>
              <w:pStyle w:val="ListBullet"/>
            </w:pPr>
            <w:r w:rsidRPr="003660B0">
              <w:t>5 elective units</w:t>
            </w:r>
          </w:p>
          <w:p w:rsidR="00000000" w:rsidRPr="003660B0" w:rsidP="003660B0">
            <w:pPr>
              <w:pStyle w:val="BodyText"/>
            </w:pPr>
            <w:r w:rsidRPr="003660B0">
              <w:t>Choose a minimum of 3 elective units from the elective list below.</w:t>
            </w:r>
          </w:p>
          <w:p w:rsidR="00000000" w:rsidRPr="003660B0" w:rsidP="003660B0">
            <w:pPr>
              <w:pStyle w:val="BodyText"/>
            </w:pPr>
            <w:r w:rsidRPr="003660B0">
              <w:t xml:space="preserve">Choose the remaining 2 elective units from elective lists below, </w:t>
            </w:r>
            <w:r w:rsidRPr="003660B0">
              <w:rPr>
                <w:rStyle w:val="SpecialBold"/>
              </w:rPr>
              <w:t>or</w:t>
            </w:r>
            <w:r w:rsidRPr="003660B0">
              <w:t xml:space="preserve"> elsewhere within thi</w:t>
            </w:r>
            <w:r w:rsidRPr="003660B0">
              <w:t xml:space="preserve">s training package, </w:t>
            </w:r>
            <w:r w:rsidRPr="003660B0">
              <w:rPr>
                <w:rStyle w:val="SpecialBold"/>
              </w:rPr>
              <w:t>or</w:t>
            </w:r>
            <w:r w:rsidRPr="003660B0">
              <w:t xml:space="preserve"> another endorsed training package, </w:t>
            </w:r>
            <w:r w:rsidRPr="003660B0">
              <w:rPr>
                <w:rStyle w:val="SpecialBold"/>
              </w:rPr>
              <w:t>or</w:t>
            </w:r>
            <w:r w:rsidRPr="003660B0">
              <w:t xml:space="preserve"> accredited course. </w:t>
            </w:r>
          </w:p>
          <w:p w:rsidR="00000000" w:rsidRPr="003660B0" w:rsidP="003660B0">
            <w:pPr>
              <w:pStyle w:val="BodyText"/>
            </w:pPr>
            <w:r w:rsidRPr="003660B0">
              <w:t xml:space="preserve">Where a pre-requisite unit is attached to an elective unit it is identified by this symbol </w:t>
            </w:r>
            <w:r w:rsidRPr="003660B0">
              <w:t>∟</w:t>
            </w:r>
            <w:r w:rsidRPr="003660B0">
              <w:t>.</w:t>
            </w:r>
          </w:p>
          <w:p w:rsidR="00000000" w:rsidRPr="003660B0" w:rsidP="003660B0">
            <w:pPr>
              <w:pStyle w:val="BodyText"/>
            </w:pPr>
            <w:r w:rsidRPr="003660B0">
              <w:t xml:space="preserve">The pre-requisite units attached to any of the elective units must be undertaken </w:t>
            </w:r>
            <w:r w:rsidRPr="003660B0">
              <w:t>and are additional to the number of elective units required for the qualification.</w:t>
            </w:r>
          </w:p>
          <w:p w:rsidR="00000000" w:rsidRPr="003660B0" w:rsidP="003660B0">
            <w:pPr>
              <w:pStyle w:val="BodyText"/>
            </w:pPr>
            <w:r w:rsidRPr="003660B0">
              <w:t>The elective units should be selected from the units that most closely align to an individual’s occupational outcomes.</w:t>
            </w:r>
          </w:p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rPr>
                <w:rStyle w:val="SpecialBold"/>
              </w:rPr>
              <w:t>Elective units selected must not duplicate content alr</w:t>
            </w:r>
            <w:r w:rsidRPr="003660B0">
              <w:rPr>
                <w:rStyle w:val="SpecialBold"/>
              </w:rPr>
              <w:t>eady covered by other units in this qualification.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0B0" w:rsidP="003660B0">
            <w:pPr>
              <w:pStyle w:val="BodyText"/>
            </w:pPr>
            <w:r w:rsidRPr="003660B0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rPr>
                <w:rStyle w:val="SpecialBold"/>
              </w:rPr>
              <w:t>Core Units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DEFCP001A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Evaluate and review safety cases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DEFCP002A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Apply knowledge of regulatory system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DEFCP004A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Apply knowledge of risk assessment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DEFCP005A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Apply knowledge of risk management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DEFCP006A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Apply knowledge of safety case development process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DEFCP007A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Provide specialist safety case advice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DEFCP008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Apply knowledge of WHS legislation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BSBCOM501B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Identify and interpret compliance requirements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0B0" w:rsidP="003660B0">
            <w:pPr>
              <w:pStyle w:val="BodyText"/>
            </w:pPr>
            <w:r w:rsidRPr="003660B0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rPr>
                <w:rStyle w:val="SpecialBold"/>
              </w:rPr>
              <w:t>Elective Units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BSBOHS509A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Ensure a safe workplace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BSBPMG503A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 xml:space="preserve">Manage project time 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BSBPMG504A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 xml:space="preserve">Manage project costs 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BSBPMG506A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 xml:space="preserve">Manage project human resources 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BSBPMG507A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 xml:space="preserve">Manage project communications 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BSBPMG509A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 xml:space="preserve">Manage project procurement 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BSBSUS301A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Implement and monitor environmentally sustainable work practices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PSPFIN501A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Apply public sector financial policies and processes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PSPGOV504B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Undertake research and analysis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PSPGOV512A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Use complex workplace communication strategies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PSPGOV513A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Refine com</w:t>
            </w:r>
            <w:r w:rsidRPr="003660B0">
              <w:t>plex workplace documents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PSPGOV515A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Develop and use political nous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PSPPM501B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Design complex projects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PSPPM502B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Manage complex projects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PSPPM503B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Close complex projects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PSPPM504A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Carry out complex project activities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PSPPM601B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Direct complex project activities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PUACOM002B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Provide services to clients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PUACOM007B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Liaise with other organisations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PUAEMR022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Establish context for emergency risk assessment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PUAEMR023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0B0" w:rsidP="003660B0">
            <w:pPr>
              <w:pStyle w:val="BodyText"/>
            </w:pPr>
            <w:r w:rsidRPr="003660B0">
              <w:t>Assess emergency risk</w:t>
            </w:r>
          </w:p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∟</w:t>
            </w:r>
            <w:r w:rsidRPr="003660B0">
              <w:t xml:space="preserve"> PUAEMR022 Establish context for emergency ri</w:t>
            </w:r>
            <w:r w:rsidRPr="003660B0">
              <w:t>sk assessment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PUAEMR024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Develop treatment options for emergency risk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PUAEMR025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0B0" w:rsidP="003660B0">
            <w:pPr>
              <w:pStyle w:val="BodyText"/>
            </w:pPr>
            <w:r w:rsidRPr="003660B0">
              <w:t>Manage risk treatment implementation</w:t>
            </w:r>
          </w:p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∟</w:t>
            </w:r>
            <w:r w:rsidRPr="003660B0">
              <w:t xml:space="preserve"> PUAEMR024 Develop treatment options for emergency risk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TAAASS401C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Plan and organise assessment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TAEASS402A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Assess competence</w:t>
            </w:r>
          </w:p>
        </w:tc>
      </w:tr>
      <w:tr w:rsidTr="00366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0B0">
            <w:pPr>
              <w:pStyle w:val="BodyText"/>
              <w:rPr>
                <w:lang w:val="en-NZ"/>
              </w:rPr>
            </w:pPr>
            <w:r w:rsidRPr="003660B0">
              <w:t>TAEASS403A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0B0" w:rsidP="003660B0">
            <w:pPr>
              <w:pStyle w:val="BodyText"/>
            </w:pPr>
            <w:r w:rsidRPr="003660B0">
              <w:t>Participate in assessment validation</w:t>
            </w:r>
          </w:p>
        </w:tc>
      </w:tr>
    </w:tbl>
    <w:p w:rsidR="007D2AB0" w:rsidP="003660B0">
      <w:pPr>
        <w:pStyle w:val="BodyText"/>
      </w:pPr>
    </w:p>
    <w:p w:rsidR="007D2AB0" w:rsidP="003660B0">
      <w:pPr>
        <w:pStyle w:val="BodyText"/>
      </w:pPr>
    </w:p>
    <w:p w:rsidR="00000000" w:rsidRPr="003660B0" w:rsidP="003660B0"/>
    <w:sectPr w:rsidSect="003660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0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0B0" w:rsidRPr="007D2AB0" w:rsidP="007D2AB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0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AB0" w:rsidP="003660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D2AB0" w:rsidP="003660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D2AB0" w:rsidP="003660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0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0B0" w:rsidRPr="007D2AB0" w:rsidP="007D2AB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0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AB0" w:rsidRPr="002D2AF8" w:rsidP="003660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DEF52212 Diploma of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7D2AB0" w:rsidP="003660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8AA5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0615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0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60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60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60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60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60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60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60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60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60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60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60B0"/>
  </w:style>
  <w:style w:type="character" w:customStyle="1" w:styleId="Heading1Char">
    <w:name w:val="Heading 1 Char"/>
    <w:basedOn w:val="DefaultParagraphFont"/>
    <w:link w:val="Heading1"/>
    <w:rsid w:val="003660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60B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60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60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60B0"/>
    <w:rPr>
      <w:b/>
      <w:spacing w:val="0"/>
    </w:rPr>
  </w:style>
  <w:style w:type="paragraph" w:customStyle="1" w:styleId="SuperHeading">
    <w:name w:val="SuperHeading"/>
    <w:basedOn w:val="Normal"/>
    <w:rsid w:val="003660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60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60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60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60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60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60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60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60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60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60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60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60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60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60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60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60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60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60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60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60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60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60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60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60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60B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60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60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60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60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60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60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60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60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60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60B0"/>
    <w:rPr>
      <w:i/>
    </w:rPr>
  </w:style>
  <w:style w:type="paragraph" w:styleId="Caption">
    <w:name w:val="caption"/>
    <w:basedOn w:val="BodyText"/>
    <w:next w:val="Normal"/>
    <w:qFormat/>
    <w:rsid w:val="003660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60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60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60B0"/>
  </w:style>
  <w:style w:type="paragraph" w:styleId="TableofFigures">
    <w:name w:val="table of figures"/>
    <w:basedOn w:val="Normal"/>
    <w:next w:val="Normal"/>
    <w:semiHidden/>
    <w:rsid w:val="003660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60B0"/>
    <w:pPr>
      <w:numPr>
        <w:numId w:val="10"/>
      </w:numPr>
    </w:pPr>
  </w:style>
  <w:style w:type="character" w:customStyle="1" w:styleId="WingdingSymbols">
    <w:name w:val="Wingding Symbols"/>
    <w:rsid w:val="003660B0"/>
    <w:rPr>
      <w:rFonts w:ascii="Wingdings" w:hAnsi="Wingdings"/>
    </w:rPr>
  </w:style>
  <w:style w:type="paragraph" w:customStyle="1" w:styleId="TableHeading">
    <w:name w:val="Table Heading"/>
    <w:basedOn w:val="HeadingBase"/>
    <w:rsid w:val="003660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60B0"/>
    <w:rPr>
      <w:color w:val="0033CC"/>
      <w:u w:val="none"/>
    </w:rPr>
  </w:style>
  <w:style w:type="paragraph" w:customStyle="1" w:styleId="BodyTextRight">
    <w:name w:val="Body Text Right"/>
    <w:basedOn w:val="BodyText"/>
    <w:rsid w:val="003660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60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60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60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60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60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60B0"/>
    <w:rPr>
      <w:sz w:val="32"/>
    </w:rPr>
  </w:style>
  <w:style w:type="paragraph" w:customStyle="1" w:styleId="HeadingProcedure">
    <w:name w:val="Heading Procedure"/>
    <w:basedOn w:val="HeadingBase"/>
    <w:next w:val="Normal"/>
    <w:rsid w:val="003660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60B0"/>
    <w:pPr>
      <w:spacing w:before="60" w:after="60"/>
    </w:pPr>
  </w:style>
  <w:style w:type="paragraph" w:styleId="ListContinue">
    <w:name w:val="List Continue"/>
    <w:basedOn w:val="List"/>
    <w:rsid w:val="003660B0"/>
    <w:pPr>
      <w:ind w:firstLine="0"/>
    </w:pPr>
  </w:style>
  <w:style w:type="paragraph" w:customStyle="1" w:styleId="ListNote">
    <w:name w:val="List Note"/>
    <w:basedOn w:val="List"/>
    <w:rsid w:val="003660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60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60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60B0"/>
    <w:rPr>
      <w:rFonts w:ascii="Courier New" w:hAnsi="Courier New"/>
    </w:rPr>
  </w:style>
  <w:style w:type="paragraph" w:customStyle="1" w:styleId="NoteBullet">
    <w:name w:val="Note Bullet"/>
    <w:basedOn w:val="Note"/>
    <w:rsid w:val="003660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60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60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60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60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60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60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60B0"/>
    <w:rPr>
      <w:b/>
      <w:smallCaps/>
    </w:rPr>
  </w:style>
  <w:style w:type="paragraph" w:customStyle="1" w:styleId="TableListNumber">
    <w:name w:val="Table List Number"/>
    <w:basedOn w:val="ListNumber"/>
    <w:rsid w:val="003660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60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60B0"/>
    <w:pPr>
      <w:numPr>
        <w:numId w:val="8"/>
      </w:numPr>
    </w:pPr>
  </w:style>
  <w:style w:type="paragraph" w:customStyle="1" w:styleId="ListAlpha2">
    <w:name w:val="List Alpha 2"/>
    <w:basedOn w:val="List2"/>
    <w:rsid w:val="003660B0"/>
    <w:pPr>
      <w:numPr>
        <w:numId w:val="7"/>
      </w:numPr>
    </w:pPr>
  </w:style>
  <w:style w:type="paragraph" w:styleId="List2">
    <w:name w:val="List 2"/>
    <w:basedOn w:val="BodyText"/>
    <w:rsid w:val="003660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60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60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60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60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60B0"/>
    <w:pPr>
      <w:numPr>
        <w:numId w:val="2"/>
      </w:numPr>
    </w:pPr>
  </w:style>
  <w:style w:type="paragraph" w:styleId="ListBullet5">
    <w:name w:val="List Bullet 5"/>
    <w:basedOn w:val="List5"/>
    <w:rsid w:val="003660B0"/>
    <w:pPr>
      <w:numPr>
        <w:numId w:val="3"/>
      </w:numPr>
    </w:pPr>
  </w:style>
  <w:style w:type="paragraph" w:styleId="ListContinue2">
    <w:name w:val="List Continue 2"/>
    <w:basedOn w:val="List2"/>
    <w:rsid w:val="003660B0"/>
    <w:pPr>
      <w:ind w:firstLine="0"/>
    </w:pPr>
  </w:style>
  <w:style w:type="paragraph" w:styleId="ListContinue3">
    <w:name w:val="List Continue 3"/>
    <w:basedOn w:val="List3"/>
    <w:rsid w:val="003660B0"/>
    <w:pPr>
      <w:ind w:left="1021" w:firstLine="0"/>
    </w:pPr>
  </w:style>
  <w:style w:type="paragraph" w:styleId="ListContinue4">
    <w:name w:val="List Continue 4"/>
    <w:basedOn w:val="List4"/>
    <w:rsid w:val="003660B0"/>
    <w:pPr>
      <w:ind w:firstLine="0"/>
    </w:pPr>
  </w:style>
  <w:style w:type="paragraph" w:styleId="ListContinue5">
    <w:name w:val="List Continue 5"/>
    <w:basedOn w:val="List5"/>
    <w:rsid w:val="003660B0"/>
    <w:pPr>
      <w:ind w:firstLine="0"/>
    </w:pPr>
  </w:style>
  <w:style w:type="paragraph" w:styleId="ListNumber3">
    <w:name w:val="List Number 3"/>
    <w:basedOn w:val="List3"/>
    <w:rsid w:val="003660B0"/>
    <w:pPr>
      <w:numPr>
        <w:numId w:val="4"/>
      </w:numPr>
    </w:pPr>
  </w:style>
  <w:style w:type="paragraph" w:styleId="ListNumber4">
    <w:name w:val="List Number 4"/>
    <w:basedOn w:val="List4"/>
    <w:rsid w:val="003660B0"/>
    <w:pPr>
      <w:numPr>
        <w:numId w:val="5"/>
      </w:numPr>
    </w:pPr>
  </w:style>
  <w:style w:type="paragraph" w:styleId="ListNumber5">
    <w:name w:val="List Number 5"/>
    <w:basedOn w:val="List5"/>
    <w:rsid w:val="003660B0"/>
    <w:pPr>
      <w:numPr>
        <w:numId w:val="6"/>
      </w:numPr>
    </w:pPr>
  </w:style>
  <w:style w:type="paragraph" w:styleId="BlockText">
    <w:name w:val="Block Text"/>
    <w:basedOn w:val="Normal"/>
    <w:rsid w:val="003660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60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60B0"/>
    <w:rPr>
      <w:sz w:val="16"/>
      <w:vertAlign w:val="superscript"/>
    </w:rPr>
  </w:style>
  <w:style w:type="character" w:customStyle="1" w:styleId="Symbols">
    <w:name w:val="Symbols"/>
    <w:basedOn w:val="DefaultParagraphFont"/>
    <w:rsid w:val="003660B0"/>
    <w:rPr>
      <w:rFonts w:ascii="Symbol" w:hAnsi="Symbol"/>
    </w:rPr>
  </w:style>
  <w:style w:type="character" w:customStyle="1" w:styleId="MenuOptions">
    <w:name w:val="Menu Options"/>
    <w:basedOn w:val="DefaultParagraphFont"/>
    <w:rsid w:val="003660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60B0"/>
    <w:rPr>
      <w:b/>
    </w:rPr>
  </w:style>
  <w:style w:type="character" w:customStyle="1" w:styleId="Underlined">
    <w:name w:val="Underlined"/>
    <w:basedOn w:val="DefaultParagraphFont"/>
    <w:rsid w:val="003660B0"/>
    <w:rPr>
      <w:u w:val="single"/>
    </w:rPr>
  </w:style>
  <w:style w:type="paragraph" w:customStyle="1" w:styleId="TableBodyTextRight">
    <w:name w:val="Table Body Text Right"/>
    <w:basedOn w:val="TableBodyText"/>
    <w:rsid w:val="003660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60B0"/>
    <w:rPr>
      <w:sz w:val="18"/>
    </w:rPr>
  </w:style>
  <w:style w:type="paragraph" w:customStyle="1" w:styleId="BodySmallRight">
    <w:name w:val="Body Small Right"/>
    <w:basedOn w:val="BodyTextRight"/>
    <w:rsid w:val="003660B0"/>
    <w:rPr>
      <w:sz w:val="18"/>
      <w:szCs w:val="18"/>
    </w:rPr>
  </w:style>
  <w:style w:type="paragraph" w:customStyle="1" w:styleId="MarginEdition">
    <w:name w:val="Margin Edition"/>
    <w:basedOn w:val="MarginNote"/>
    <w:rsid w:val="003660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60B0"/>
    <w:rPr>
      <w:sz w:val="2"/>
      <w:szCs w:val="2"/>
    </w:rPr>
  </w:style>
  <w:style w:type="character" w:customStyle="1" w:styleId="Small">
    <w:name w:val="Small"/>
    <w:basedOn w:val="DefaultParagraphFont"/>
    <w:rsid w:val="003660B0"/>
    <w:rPr>
      <w:sz w:val="16"/>
    </w:rPr>
  </w:style>
  <w:style w:type="paragraph" w:customStyle="1" w:styleId="WideTable">
    <w:name w:val="Wide Table"/>
    <w:basedOn w:val="Normal"/>
    <w:rsid w:val="003660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60B0"/>
  </w:style>
  <w:style w:type="paragraph" w:styleId="Quote">
    <w:name w:val="Quote"/>
    <w:basedOn w:val="Heading1"/>
    <w:link w:val="QuoteChar"/>
    <w:qFormat/>
    <w:rsid w:val="003660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60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60B0"/>
    <w:pPr>
      <w:pageBreakBefore/>
    </w:pPr>
  </w:style>
  <w:style w:type="paragraph" w:customStyle="1" w:styleId="Border">
    <w:name w:val="Border"/>
    <w:basedOn w:val="Normal"/>
    <w:qFormat/>
    <w:rsid w:val="003660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60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0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0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60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60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60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60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60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60B0"/>
    <w:rPr>
      <w:u w:val="single"/>
    </w:rPr>
  </w:style>
  <w:style w:type="character" w:customStyle="1" w:styleId="BoldandItalics">
    <w:name w:val="Bold and Italics"/>
    <w:qFormat/>
    <w:rsid w:val="003660B0"/>
    <w:rPr>
      <w:b/>
      <w:i/>
      <w:u w:val="none"/>
    </w:rPr>
  </w:style>
  <w:style w:type="paragraph" w:styleId="BalloonText">
    <w:name w:val="Balloon Text"/>
    <w:basedOn w:val="Normal"/>
    <w:link w:val="BalloonTextChar"/>
    <w:rsid w:val="003660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60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60B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60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60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60B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795</Words>
  <Characters>5119</Characters>
  <Application>Microsoft Office Word</Application>
  <DocSecurity>0</DocSecurity>
  <Lines>186</Lines>
  <Paragraphs>146</Paragraphs>
  <ScaleCrop>false</ScaleCrop>
  <Company>Author-it Software Corporation Ltd.</Company>
  <LinksUpToDate>false</LinksUpToDate>
  <CharactersWithSpaces>5807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DEF52212 Diploma of Compliance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2013-01-25T17:26:00Z</dcterms:created>
  <dcterms:modified xsi:type="dcterms:W3CDTF">2013-01-25T17:26:00Z</dcterms:modified>
</cp:coreProperties>
</file>