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BCE" w:rsidP="00230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DEF42712 Military Land Engineering</w:t>
      </w:r>
      <w:r>
        <w:fldChar w:fldCharType="end"/>
      </w:r>
    </w:p>
    <w:p w:rsidR="00230BCE" w:rsidP="00230BCE">
      <w:pPr>
        <w:pStyle w:val="Version"/>
        <w:sectPr w:rsidSect="003B4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4A36" w:rsidP="003B4A36">
      <w:pPr>
        <w:pStyle w:val="SuperHeading"/>
      </w:pPr>
      <w:r w:rsidRPr="003B4A36">
        <w:t>DEF42712 Certificate IV in Military Land Engineering</w:t>
      </w:r>
    </w:p>
    <w:p w:rsidR="00000000" w:rsidRPr="003B4A36" w:rsidP="003B4A36">
      <w:pPr>
        <w:pStyle w:val="Heading1"/>
      </w:pPr>
      <w:bookmarkStart w:id="1" w:name="O_524381"/>
      <w:bookmarkEnd w:id="1"/>
      <w:r w:rsidRPr="003B4A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23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 xml:space="preserve"> Comments</w:t>
            </w:r>
          </w:p>
        </w:tc>
      </w:tr>
      <w:tr w:rsidTr="0023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New qualification. Equivalent to DEF41812 Certificate IV in Military Engineering. Structure and packaging rules changed.</w:t>
            </w:r>
          </w:p>
        </w:tc>
      </w:tr>
      <w:tr w:rsidTr="0023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t>First release.</w:t>
            </w:r>
          </w:p>
        </w:tc>
      </w:tr>
    </w:tbl>
    <w:p w:rsidR="00230BCE" w:rsidP="003B4A36">
      <w:pPr>
        <w:pStyle w:val="BodyText"/>
      </w:pPr>
    </w:p>
    <w:p w:rsidR="00230BCE" w:rsidP="003B4A36">
      <w:pPr>
        <w:pStyle w:val="BodyText"/>
      </w:pPr>
    </w:p>
    <w:p w:rsidR="00000000" w:rsidRPr="003B4A36" w:rsidP="003B4A36">
      <w:pPr>
        <w:pStyle w:val="Heading1"/>
      </w:pPr>
      <w:bookmarkStart w:id="2" w:name="O_524382"/>
      <w:bookmarkEnd w:id="2"/>
      <w:r w:rsidRPr="003B4A36">
        <w:t>Description</w:t>
      </w:r>
    </w:p>
    <w:p w:rsidR="00000000" w:rsidRPr="003B4A36" w:rsidP="003B4A36">
      <w:pPr>
        <w:pStyle w:val="BodyText"/>
      </w:pPr>
      <w:r w:rsidRPr="003B4A36">
        <w:t>Not applicable.</w:t>
      </w:r>
    </w:p>
    <w:p w:rsidR="00000000" w:rsidRPr="003B4A36" w:rsidP="003B4A36">
      <w:pPr>
        <w:pStyle w:val="AllowPageBreak"/>
      </w:pPr>
    </w:p>
    <w:p w:rsidR="00000000" w:rsidRPr="003B4A36" w:rsidP="003B4A36">
      <w:pPr>
        <w:pStyle w:val="Heading1"/>
      </w:pPr>
      <w:bookmarkStart w:id="3" w:name="O_524383"/>
      <w:bookmarkEnd w:id="3"/>
      <w:r w:rsidRPr="003B4A36">
        <w:t>Pathways Information</w:t>
      </w:r>
    </w:p>
    <w:p w:rsidR="00000000" w:rsidRPr="003B4A36" w:rsidP="003B4A36">
      <w:pPr>
        <w:pStyle w:val="BodyText"/>
      </w:pPr>
      <w:r w:rsidRPr="003B4A36">
        <w:t>Not applicable.</w:t>
      </w:r>
    </w:p>
    <w:p w:rsidR="00000000" w:rsidRPr="003B4A36" w:rsidP="003B4A36">
      <w:pPr>
        <w:pStyle w:val="AllowPageBreak"/>
      </w:pPr>
    </w:p>
    <w:p w:rsidR="00000000" w:rsidRPr="003B4A36" w:rsidP="003B4A36">
      <w:pPr>
        <w:pStyle w:val="Heading1"/>
      </w:pPr>
      <w:bookmarkStart w:id="4" w:name="O_524384"/>
      <w:bookmarkEnd w:id="4"/>
      <w:r w:rsidRPr="003B4A36">
        <w:t>Licensing/Regulatory Information</w:t>
      </w:r>
    </w:p>
    <w:p w:rsidR="00000000" w:rsidRPr="003B4A36" w:rsidP="003B4A36">
      <w:pPr>
        <w:pStyle w:val="BodyText"/>
      </w:pPr>
      <w:r w:rsidRPr="003B4A36">
        <w:t>Not applicable.</w:t>
      </w:r>
    </w:p>
    <w:p w:rsidR="00000000" w:rsidRPr="003B4A36" w:rsidP="003B4A36">
      <w:pPr>
        <w:pStyle w:val="AllowPageBreak"/>
      </w:pPr>
    </w:p>
    <w:p w:rsidR="00000000" w:rsidRPr="003B4A36" w:rsidP="003B4A36">
      <w:pPr>
        <w:pStyle w:val="Heading1"/>
      </w:pPr>
      <w:bookmarkStart w:id="5" w:name="O_524385"/>
      <w:bookmarkEnd w:id="5"/>
      <w:r w:rsidRPr="003B4A36">
        <w:t>Entry Requirements</w:t>
      </w:r>
    </w:p>
    <w:p w:rsidR="00000000" w:rsidRPr="003B4A36" w:rsidP="003B4A36">
      <w:pPr>
        <w:pStyle w:val="BodyText"/>
      </w:pPr>
      <w:r w:rsidRPr="003B4A36">
        <w:t>Not applicable.</w:t>
      </w:r>
    </w:p>
    <w:p w:rsidR="00000000" w:rsidRPr="003B4A36" w:rsidP="003B4A36">
      <w:pPr>
        <w:pStyle w:val="AllowPageBreak"/>
      </w:pPr>
    </w:p>
    <w:p w:rsidR="00000000" w:rsidRPr="003B4A36" w:rsidP="003B4A36">
      <w:pPr>
        <w:pStyle w:val="Heading1"/>
      </w:pPr>
      <w:bookmarkStart w:id="6" w:name="O_524386"/>
      <w:bookmarkEnd w:id="6"/>
      <w:r w:rsidRPr="003B4A36">
        <w:t>Employability Skills Summary</w:t>
      </w:r>
    </w:p>
    <w:p w:rsidR="00000000" w:rsidRPr="003B4A36" w:rsidP="003B4A36">
      <w:pPr>
        <w:pStyle w:val="BodyText"/>
      </w:pPr>
      <w:r w:rsidRPr="003B4A36">
        <w:t>Employabil</w:t>
      </w:r>
      <w:r w:rsidRPr="003B4A36">
        <w:t xml:space="preserve">ity Skills are part of a unit of competency. </w:t>
      </w:r>
    </w:p>
    <w:p w:rsidR="00000000" w:rsidRPr="003B4A36" w:rsidP="003B4A36">
      <w:pPr>
        <w:pStyle w:val="BodyText"/>
      </w:pPr>
      <w:r w:rsidRPr="003B4A36">
        <w:t>Employability Skills statements from a selection of units of competency from the DEF42712 Certificate IV in Military Land Engineering have been reproduced in the table below.</w:t>
      </w:r>
    </w:p>
    <w:p w:rsidR="00000000" w:rsidRPr="003B4A36" w:rsidP="003B4A36">
      <w:pPr>
        <w:pStyle w:val="BodyText"/>
      </w:pPr>
      <w:r w:rsidRPr="003B4A36">
        <w:t>This table provides an example of Employability Skills for the qualification because Employability Skills within a qualification will vary depending on the qualification packaging options.</w:t>
      </w:r>
    </w:p>
    <w:p w:rsidR="00000000" w:rsidRPr="003B4A36" w:rsidP="003B4A36">
      <w:pPr>
        <w:pStyle w:val="BodyText"/>
      </w:pPr>
      <w:r w:rsidRPr="003B4A36">
        <w:t>Defence qualifications have core units (which must be achieved) and</w:t>
      </w:r>
      <w:r w:rsidRPr="003B4A36">
        <w:t xml:space="preserve"> elective units (where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Employabi</w:t>
            </w:r>
            <w:r w:rsidRPr="003B4A36">
              <w:rPr>
                <w:rStyle w:val="SpecialBold"/>
              </w:rPr>
              <w:t>lity Skills Statement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communicate and apply interpersonal skills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communicate and consult with battlespace operating system experts, commanders, other technical agencies and managers </w:t>
            </w:r>
          </w:p>
          <w:p w:rsidR="00000000" w:rsidRPr="003B4A36" w:rsidP="003B4A36">
            <w:pPr>
              <w:pStyle w:val="ListBullet"/>
            </w:pPr>
            <w:r w:rsidRPr="003B4A36">
              <w:t>compile reports on equity and diversity issues</w:t>
            </w:r>
          </w:p>
          <w:p w:rsidR="00000000" w:rsidRPr="003B4A36" w:rsidP="003B4A36">
            <w:pPr>
              <w:pStyle w:val="ListBullet"/>
            </w:pPr>
            <w:r w:rsidRPr="003B4A36">
              <w:t>complete d</w:t>
            </w:r>
            <w:r w:rsidRPr="003B4A36">
              <w:t>ocumentation and write reports</w:t>
            </w:r>
          </w:p>
          <w:p w:rsidR="00000000" w:rsidRPr="003B4A36" w:rsidP="003B4A36">
            <w:pPr>
              <w:pStyle w:val="ListBullet"/>
            </w:pPr>
            <w:r w:rsidRPr="003B4A36">
              <w:t>conduct debriefs</w:t>
            </w:r>
          </w:p>
          <w:p w:rsidR="00000000" w:rsidRPr="003B4A36" w:rsidP="003B4A36">
            <w:pPr>
              <w:pStyle w:val="ListBullet"/>
            </w:pPr>
            <w:r w:rsidRPr="003B4A36">
              <w:t>conduct research and seek advice from relevant personnel to clarify unclear findings</w:t>
            </w:r>
          </w:p>
          <w:p w:rsidR="00000000" w:rsidRPr="003B4A36" w:rsidP="003B4A36">
            <w:pPr>
              <w:pStyle w:val="ListBullet"/>
            </w:pPr>
            <w:r w:rsidRPr="003B4A36">
              <w:t>develop instructions from given orders</w:t>
            </w:r>
          </w:p>
          <w:p w:rsidR="00000000" w:rsidRPr="003B4A36" w:rsidP="003B4A36">
            <w:pPr>
              <w:pStyle w:val="ListBullet"/>
            </w:pPr>
            <w:r w:rsidRPr="003B4A36">
              <w:t>develop techniques for giving and receiving feedback in a constructive manner</w:t>
            </w:r>
          </w:p>
          <w:p w:rsidR="00000000" w:rsidRPr="003B4A36" w:rsidP="003B4A36">
            <w:pPr>
              <w:pStyle w:val="ListBullet"/>
            </w:pPr>
            <w:r w:rsidRPr="003B4A36">
              <w:t>ensure written communication is to the required level to complete workplace forms and reports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identify and communicate equity and diversity strategies to team members </w:t>
            </w:r>
          </w:p>
          <w:p w:rsidR="00000000" w:rsidRPr="003B4A36" w:rsidP="003B4A36">
            <w:pPr>
              <w:pStyle w:val="ListBullet"/>
            </w:pPr>
            <w:r w:rsidRPr="003B4A36">
              <w:t>provide feedback on equity and diversity strategies to managers</w:t>
            </w:r>
          </w:p>
          <w:p w:rsidR="00000000" w:rsidRPr="003B4A36" w:rsidP="003B4A36">
            <w:pPr>
              <w:pStyle w:val="ListBullet"/>
            </w:pPr>
            <w:r w:rsidRPr="003B4A36">
              <w:t>receive, clarify, prepar</w:t>
            </w:r>
            <w:r w:rsidRPr="003B4A36">
              <w:t>e and deliver orders as necessary</w:t>
            </w:r>
          </w:p>
          <w:p w:rsidR="00000000" w:rsidRPr="003B4A36" w:rsidP="003B4A36">
            <w:pPr>
              <w:pStyle w:val="ListBullet"/>
            </w:pPr>
            <w:r w:rsidRPr="003B4A36">
              <w:t>report shortfalls that limit capability</w:t>
            </w:r>
          </w:p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use verbal and non</w:t>
            </w:r>
            <w:r w:rsidRPr="003B4A36">
              <w:noBreakHyphen/>
              <w:t>verbal communication techniques including body language, language style and active listening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apply techniques to support others</w:t>
            </w:r>
          </w:p>
          <w:p w:rsidR="00000000" w:rsidRPr="003B4A36" w:rsidP="003B4A36">
            <w:pPr>
              <w:pStyle w:val="ListBullet"/>
            </w:pPr>
            <w:r w:rsidRPr="003B4A36">
              <w:t>command, lead and manage</w:t>
            </w:r>
            <w:r w:rsidRPr="003B4A36">
              <w:t xml:space="preserve"> engineering personnel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direct and supervise subordinates </w:t>
            </w:r>
          </w:p>
          <w:p w:rsidR="00000000" w:rsidRPr="003B4A36" w:rsidP="003B4A36">
            <w:pPr>
              <w:pStyle w:val="ListBullet"/>
            </w:pPr>
            <w:r w:rsidRPr="003B4A36">
              <w:t>foster and promote equity and diversity practices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organise and direct support from outside agencies </w:t>
            </w:r>
          </w:p>
          <w:p w:rsidR="00000000" w:rsidRPr="003B4A36" w:rsidP="003B4A36">
            <w:pPr>
              <w:pStyle w:val="ListBullet"/>
            </w:pPr>
            <w:r w:rsidRPr="003B4A36">
              <w:t>provide assistance to maximise individual contribution to the attainment of the team objectives</w:t>
            </w:r>
          </w:p>
          <w:p w:rsidR="00000000" w:rsidRPr="003B4A36" w:rsidP="003B4A36">
            <w:pPr>
              <w:pStyle w:val="ListBullet"/>
            </w:pPr>
            <w:r w:rsidRPr="003B4A36">
              <w:t>s</w:t>
            </w:r>
            <w:r w:rsidRPr="003B4A36">
              <w:t>upervise and monitor equity and diversity processes within the workplace</w:t>
            </w:r>
          </w:p>
          <w:p w:rsidR="00000000" w:rsidRPr="003B4A36" w:rsidP="003B4A36">
            <w:pPr>
              <w:pStyle w:val="ListBullet"/>
            </w:pPr>
            <w:r w:rsidRPr="003B4A36">
              <w:t>supervise engineering operations</w:t>
            </w:r>
          </w:p>
          <w:p w:rsidR="00000000" w:rsidRPr="003B4A36" w:rsidP="003B4A36">
            <w:pPr>
              <w:pStyle w:val="ListBullet"/>
            </w:pPr>
            <w:r w:rsidRPr="003B4A36">
              <w:t>work within a team environment</w:t>
            </w:r>
          </w:p>
          <w:p w:rsidR="00000000" w:rsidRPr="003B4A36" w:rsidP="003B4A36">
            <w:pPr>
              <w:pStyle w:val="ListBullet"/>
            </w:pPr>
            <w:r w:rsidRPr="003B4A36">
              <w:t>understand team dynamics, aims and objectives</w:t>
            </w:r>
          </w:p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understand the composition, roles and responsibilities of team members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analyse and solve problems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deal with minor incidents </w:t>
            </w:r>
          </w:p>
          <w:p w:rsidR="00000000" w:rsidRPr="003B4A36" w:rsidP="003B4A36">
            <w:pPr>
              <w:pStyle w:val="ListBullet"/>
            </w:pPr>
            <w:r w:rsidRPr="003B4A36">
              <w:t>determine and manage constraints and risks relevant to the task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identify issues, analyse circumstances and undertake research </w:t>
            </w:r>
          </w:p>
          <w:p w:rsidR="00000000" w:rsidRPr="003B4A36" w:rsidP="003B4A36">
            <w:pPr>
              <w:pStyle w:val="ListBullet"/>
            </w:pPr>
            <w:r w:rsidRPr="003B4A36">
              <w:t>navigate by day and night, vehicle and foot</w:t>
            </w:r>
          </w:p>
          <w:p w:rsidR="00000000" w:rsidRPr="003B4A36" w:rsidP="003B4A36">
            <w:pPr>
              <w:pStyle w:val="ListBullet"/>
            </w:pPr>
            <w:r w:rsidRPr="003B4A36">
              <w:t>resolve grieva</w:t>
            </w:r>
            <w:r w:rsidRPr="003B4A36">
              <w:t>nces and complaints without bias</w:t>
            </w:r>
          </w:p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take action to correct inappropriate behaviour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act independently</w:t>
            </w:r>
          </w:p>
          <w:p w:rsidR="00000000" w:rsidRPr="003B4A36" w:rsidP="003B4A36">
            <w:pPr>
              <w:pStyle w:val="ListBullet"/>
            </w:pPr>
            <w:r w:rsidRPr="003B4A36">
              <w:t>be incisive in a fluid and demanding environment</w:t>
            </w:r>
          </w:p>
          <w:p w:rsidR="00000000" w:rsidRPr="003B4A36" w:rsidP="003B4A36">
            <w:pPr>
              <w:pStyle w:val="ListBullet"/>
            </w:pPr>
            <w:r w:rsidRPr="003B4A36">
              <w:t>lead by example</w:t>
            </w:r>
          </w:p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translate research and analysis into clear advice for stakeholders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apply processes to resolve grievance and complaints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assemble appropriate resources for the task </w:t>
            </w:r>
          </w:p>
          <w:p w:rsidR="00000000" w:rsidRPr="003B4A36" w:rsidP="003B4A36">
            <w:pPr>
              <w:pStyle w:val="ListBullet"/>
            </w:pPr>
            <w:r w:rsidRPr="003B4A36">
              <w:t>conduct battle procedures</w:t>
            </w:r>
          </w:p>
          <w:p w:rsidR="00000000" w:rsidRPr="003B4A36" w:rsidP="003B4A36">
            <w:pPr>
              <w:pStyle w:val="ListBullet"/>
            </w:pPr>
            <w:r w:rsidRPr="003B4A36">
              <w:t>confirm and maintain the competence of s</w:t>
            </w:r>
            <w:r w:rsidRPr="003B4A36">
              <w:t>ubordinates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determine and manage the constraints and risks relevant to the task </w:t>
            </w:r>
          </w:p>
          <w:p w:rsidR="00000000" w:rsidRPr="003B4A36" w:rsidP="003B4A36">
            <w:pPr>
              <w:pStyle w:val="ListBullet"/>
            </w:pPr>
            <w:r w:rsidRPr="003B4A36">
              <w:t>draw simple construction plans</w:t>
            </w:r>
          </w:p>
          <w:p w:rsidR="00000000" w:rsidRPr="003B4A36" w:rsidP="003B4A36">
            <w:pPr>
              <w:pStyle w:val="ListBullet"/>
            </w:pPr>
            <w:r w:rsidRPr="003B4A36">
              <w:t>identify sources of information on equity and diversity in accordance with legislative requirements, and organisational policies and practices</w:t>
            </w:r>
          </w:p>
          <w:p w:rsidR="00000000" w:rsidRPr="003B4A36" w:rsidP="003B4A36">
            <w:pPr>
              <w:pStyle w:val="ListBullet"/>
            </w:pPr>
            <w:r w:rsidRPr="003B4A36">
              <w:t>p</w:t>
            </w:r>
            <w:r w:rsidRPr="003B4A36">
              <w:t>repare and plan for engineering operations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provide advice to stakeholders within resource constraints and operational requirements </w:t>
            </w:r>
          </w:p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understand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Self</w:t>
            </w:r>
            <w:r w:rsidRPr="003B4A36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act independently</w:t>
            </w:r>
          </w:p>
          <w:p w:rsidR="00000000" w:rsidRPr="003B4A36" w:rsidP="003B4A36">
            <w:pPr>
              <w:pStyle w:val="ListBullet"/>
            </w:pPr>
            <w:r w:rsidRPr="003B4A36">
              <w:t>be incisive in a fluid and de</w:t>
            </w:r>
            <w:r w:rsidRPr="003B4A36">
              <w:t>manding environment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conduct post activity analysis and make subsequent recommendations </w:t>
            </w:r>
          </w:p>
          <w:p w:rsidR="00000000" w:rsidRPr="003B4A36" w:rsidP="003B4A36">
            <w:pPr>
              <w:pStyle w:val="ListBullet"/>
            </w:pPr>
            <w:r w:rsidRPr="003B4A36">
              <w:t>ensure that the individual decision making process is conducted in accordance with standard procedures</w:t>
            </w:r>
          </w:p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lead by example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ListBullet"/>
              <w:rPr>
                <w:lang w:val="en-NZ"/>
              </w:rPr>
            </w:pPr>
            <w:r w:rsidRPr="003B4A36">
              <w:t>develop an understanding of research a</w:t>
            </w:r>
            <w:r w:rsidRPr="003B4A36">
              <w:t>nd analysis techniques</w:t>
            </w:r>
          </w:p>
        </w:tc>
      </w:tr>
      <w:tr w:rsidTr="003B4A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ListBullet"/>
            </w:pPr>
            <w:r w:rsidRPr="003B4A36">
              <w:t>operate global positioning system (GPS)</w:t>
            </w:r>
          </w:p>
          <w:p w:rsidR="00000000" w:rsidRPr="003B4A36" w:rsidP="003B4A36">
            <w:pPr>
              <w:pStyle w:val="ListBullet"/>
            </w:pPr>
            <w:r w:rsidRPr="003B4A36">
              <w:t>operate weapons</w:t>
            </w:r>
          </w:p>
          <w:p w:rsidR="00000000" w:rsidRPr="003B4A36" w:rsidP="003B4A36">
            <w:pPr>
              <w:pStyle w:val="ListBullet"/>
            </w:pPr>
            <w:r w:rsidRPr="003B4A36">
              <w:t>recondition, replace or return equipment, stores and ammunition where applicable</w:t>
            </w:r>
          </w:p>
          <w:p w:rsidR="00000000" w:rsidRPr="003B4A36" w:rsidP="003B4A36">
            <w:pPr>
              <w:pStyle w:val="ListBullet"/>
            </w:pPr>
            <w:r w:rsidRPr="003B4A36">
              <w:t>undertake the construction process (including the design and use of field machines)</w:t>
            </w:r>
          </w:p>
          <w:p w:rsidR="00000000" w:rsidRPr="003B4A36" w:rsidP="003B4A36">
            <w:pPr>
              <w:pStyle w:val="ListBullet"/>
            </w:pPr>
            <w:r w:rsidRPr="003B4A36">
              <w:t xml:space="preserve">use appropriate information technology and software </w:t>
            </w:r>
          </w:p>
          <w:p w:rsidR="00000000" w:rsidRPr="003B4A36" w:rsidP="003B4A36">
            <w:pPr>
              <w:pStyle w:val="ListBullet"/>
            </w:pPr>
            <w:r w:rsidRPr="003B4A36">
              <w:t>use computers</w:t>
            </w:r>
          </w:p>
        </w:tc>
      </w:tr>
    </w:tbl>
    <w:p w:rsidR="00000000" w:rsidRPr="003B4A36" w:rsidP="003B4A36">
      <w:pPr>
        <w:pStyle w:val="BodyText"/>
      </w:pPr>
    </w:p>
    <w:p w:rsidR="00000000" w:rsidRPr="003B4A36" w:rsidP="003B4A36">
      <w:pPr>
        <w:pStyle w:val="AllowPageBreak"/>
      </w:pPr>
    </w:p>
    <w:p w:rsidR="00000000" w:rsidRPr="003B4A36" w:rsidP="003B4A36">
      <w:pPr>
        <w:pStyle w:val="Heading1"/>
      </w:pPr>
      <w:bookmarkStart w:id="7" w:name="O_524387"/>
      <w:bookmarkEnd w:id="7"/>
      <w:r w:rsidRPr="003B4A36">
        <w:t>Packaging Rules</w:t>
      </w:r>
    </w:p>
    <w:p w:rsidR="00000000" w:rsidRPr="003B4A36" w:rsidP="003B4A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t>14 units of competency are required for this qualification including:</w:t>
            </w:r>
          </w:p>
          <w:p w:rsidR="00000000" w:rsidRPr="003B4A36" w:rsidP="003B4A36">
            <w:pPr>
              <w:pStyle w:val="ListBullet"/>
            </w:pPr>
            <w:r w:rsidRPr="003B4A36">
              <w:t>3 core units</w:t>
            </w:r>
          </w:p>
          <w:p w:rsidR="00000000" w:rsidRPr="003B4A36" w:rsidP="003B4A36">
            <w:pPr>
              <w:pStyle w:val="ListBullet"/>
            </w:pPr>
            <w:r w:rsidRPr="003B4A36">
              <w:t>11 elective units</w:t>
            </w:r>
          </w:p>
          <w:p w:rsidR="00000000" w:rsidRPr="003B4A36" w:rsidP="003B4A36">
            <w:pPr>
              <w:pStyle w:val="BodyText"/>
            </w:pPr>
            <w:r w:rsidRPr="003B4A36">
              <w:t>Choose a minimum of 8 elective units from the Grou</w:t>
            </w:r>
            <w:r w:rsidRPr="003B4A36">
              <w:t>p A or B lists below, of which 5 units must be from Group A.</w:t>
            </w:r>
          </w:p>
          <w:p w:rsidR="00000000" w:rsidRPr="003B4A36" w:rsidP="003B4A36">
            <w:pPr>
              <w:pStyle w:val="BodyText"/>
            </w:pPr>
            <w:r w:rsidRPr="003B4A36">
              <w:t xml:space="preserve">Choose the remaining 3 elective units from either the Group A or B elective lists below, </w:t>
            </w:r>
            <w:r w:rsidRPr="003B4A36">
              <w:rPr>
                <w:rStyle w:val="SpecialBold"/>
              </w:rPr>
              <w:t>or</w:t>
            </w:r>
            <w:r w:rsidRPr="003B4A36">
              <w:t xml:space="preserve"> elsewhere within this training package, </w:t>
            </w:r>
            <w:r w:rsidRPr="003B4A36">
              <w:rPr>
                <w:rStyle w:val="SpecialBold"/>
              </w:rPr>
              <w:t>or</w:t>
            </w:r>
            <w:r w:rsidRPr="003B4A36">
              <w:t xml:space="preserve"> another endorsed training package, </w:t>
            </w:r>
            <w:r w:rsidRPr="003B4A36">
              <w:rPr>
                <w:rStyle w:val="SpecialBold"/>
              </w:rPr>
              <w:t>or</w:t>
            </w:r>
            <w:r w:rsidRPr="003B4A36">
              <w:t xml:space="preserve"> accredited course. </w:t>
            </w:r>
          </w:p>
          <w:p w:rsidR="00000000" w:rsidRPr="003B4A36" w:rsidP="003B4A36">
            <w:pPr>
              <w:pStyle w:val="BodyText"/>
            </w:pPr>
            <w:r w:rsidRPr="003B4A36">
              <w:t xml:space="preserve">Where a pre-requisite unit is attached to an elective unit it is identified by this symbol </w:t>
            </w:r>
            <w:r w:rsidRPr="003B4A36">
              <w:t>∟</w:t>
            </w:r>
            <w:r w:rsidRPr="003B4A36">
              <w:t>.</w:t>
            </w:r>
          </w:p>
          <w:p w:rsidR="00000000" w:rsidRPr="003B4A36" w:rsidP="003B4A36">
            <w:pPr>
              <w:pStyle w:val="BodyText"/>
            </w:pPr>
            <w:r w:rsidRPr="003B4A36">
              <w:t>The pre-requisite units attached to any of the elective units must be undertaken and are additional to the number of elective units required for the qualification</w:t>
            </w:r>
            <w:r w:rsidRPr="003B4A36">
              <w:t>.</w:t>
            </w:r>
          </w:p>
          <w:p w:rsidR="00000000" w:rsidRPr="003B4A36" w:rsidP="003B4A36">
            <w:pPr>
              <w:pStyle w:val="BodyText"/>
            </w:pPr>
            <w:r w:rsidRPr="003B4A36">
              <w:t>The elective units should be selected from the units that most closely align to an individual’s occupational outcomes.</w:t>
            </w:r>
          </w:p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Elective units selected must not duplicate content already covered by other units in this qualification.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Core Units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DEFCA209B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S</w:t>
            </w:r>
            <w:r w:rsidRPr="003B4A36">
              <w:t>elect sites for deployment in a threat environment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DEFCA315B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Supervise engineering operations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Provide technical advice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Group A Elective Units (Specialisation)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DEFCA015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Supervise combat arms operations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Perform military high-risk search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Construct equipment bridging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DEFCA316B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Supervise the construction of short term roads or tracks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DEFCA325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Prepare and operate a field water point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DEFCA326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Operate an inland modular raft or ferry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DEFCA327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Coordinate area and route search, and clearance of explosive ordnance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DEFCA422B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Conduct range practices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DEFCA423B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t>Manage range practices and qualifications</w:t>
            </w:r>
          </w:p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∟</w:t>
            </w:r>
            <w:r w:rsidRPr="003B4A36">
              <w:tab/>
              <w:t>DEFCA422B Conduct range practices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DEFCO208B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Operate in a field communications and information s</w:t>
            </w:r>
            <w:r w:rsidRPr="003B4A36">
              <w:t>ystems environment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DEFEO703C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Supervise military explosive ordnance task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PUAFIR306B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t>Render hazardous materials incidents safe</w:t>
            </w:r>
          </w:p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∟</w:t>
            </w:r>
            <w:r w:rsidRPr="003B4A36">
              <w:tab/>
              <w:t>PUAFIR215 Prevent injury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PSPBORD405A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Develop operational effectiveness of detector dog teams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PSPBORD406A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Conduct detector dog training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PSPGOV406B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Gather and analyse information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PSPPM401B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Design simple projects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PSPPM402B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Manage simple projects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PSPPM403B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Close simple projects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AHCSAW201A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Conduct erosion and sediment control activities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LGAWORK304A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Construct</w:t>
            </w:r>
            <w:r w:rsidRPr="003B4A36">
              <w:t xml:space="preserve"> and maintain drainage systems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TLIB1001A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Check and assess operational capabilities of equipment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TLIB3015A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Undertake site inspection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rPr>
                <w:rStyle w:val="SpecialBold"/>
              </w:rPr>
              <w:t>Group B Elective Units (General)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DEFCM118B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Act as a range safety officer on a permanent range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DEFCM119B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Conduct basic range practices on a permanent range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DEFCM130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Perform the duties of a defending officer at service tribunals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DEFCM131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Perform the duties of a prosecuting officer at service tribunals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DEFCM132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Conduct individual and collective ceremonial dr</w:t>
            </w:r>
            <w:r w:rsidRPr="003B4A36">
              <w:t>ill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DEFCM306A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Administer personnel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DEFRI001B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 xml:space="preserve">Treat risk in defence at an operational level 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DEFRI002B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Conduct a risk assessment in a defence environment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PUATEA003B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Lead, manage and develop teams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PUACOM007B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Liaise with other organisations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PSPGOV403B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Use resources to achieve work unit goals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PSPGOV406B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Gather and analyses information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PSPGOV512A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Use complex workplace communications strategies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BSBMGT401A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Show leadership in the workplace</w:t>
            </w:r>
          </w:p>
        </w:tc>
      </w:tr>
      <w:tr w:rsidTr="003B4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36">
            <w:pPr>
              <w:pStyle w:val="BodyText"/>
              <w:rPr>
                <w:lang w:val="en-NZ"/>
              </w:rPr>
            </w:pPr>
            <w:r w:rsidRPr="003B4A36">
              <w:t>HLTFA412A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36" w:rsidP="003B4A36">
            <w:pPr>
              <w:pStyle w:val="BodyText"/>
            </w:pPr>
            <w:r w:rsidRPr="003B4A36">
              <w:t>Apply advanced first aid</w:t>
            </w:r>
          </w:p>
          <w:p w:rsidR="00000000" w:rsidRPr="003B4A36" w:rsidP="003B4A36">
            <w:pPr>
              <w:pStyle w:val="BodyText"/>
            </w:pPr>
            <w:r w:rsidRPr="003B4A36">
              <w:t>∟</w:t>
            </w:r>
            <w:r w:rsidRPr="003B4A36">
              <w:tab/>
              <w:t>HLTFA311A Apply first aid</w:t>
            </w:r>
          </w:p>
        </w:tc>
      </w:tr>
    </w:tbl>
    <w:p w:rsidR="00230BCE" w:rsidP="003B4A36">
      <w:pPr>
        <w:pStyle w:val="BodyText"/>
      </w:pPr>
    </w:p>
    <w:p w:rsidR="00230BCE" w:rsidP="003B4A36">
      <w:pPr>
        <w:pStyle w:val="BodyText"/>
      </w:pPr>
    </w:p>
    <w:p w:rsidR="00000000" w:rsidRPr="003B4A36" w:rsidP="003B4A36"/>
    <w:sectPr w:rsidSect="003B4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36" w:rsidRPr="00230BCE" w:rsidP="00230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CE" w:rsidP="003B4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0BCE" w:rsidP="003B4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30BCE" w:rsidP="003B4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36" w:rsidRPr="00230BCE" w:rsidP="00230B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CE" w:rsidRPr="002D2AF8" w:rsidP="003B4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DEF42712 Military Land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230BCE" w:rsidP="003B4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D63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0B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A36"/>
  </w:style>
  <w:style w:type="character" w:customStyle="1" w:styleId="Heading1Char">
    <w:name w:val="Heading 1 Char"/>
    <w:basedOn w:val="DefaultParagraphFont"/>
    <w:link w:val="Heading1"/>
    <w:rsid w:val="003B4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A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A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A36"/>
    <w:rPr>
      <w:b/>
      <w:spacing w:val="0"/>
    </w:rPr>
  </w:style>
  <w:style w:type="paragraph" w:customStyle="1" w:styleId="SuperHeading">
    <w:name w:val="SuperHeading"/>
    <w:basedOn w:val="Normal"/>
    <w:rsid w:val="003B4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A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A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A36"/>
    <w:rPr>
      <w:i/>
    </w:rPr>
  </w:style>
  <w:style w:type="paragraph" w:styleId="Caption">
    <w:name w:val="caption"/>
    <w:basedOn w:val="BodyText"/>
    <w:next w:val="Normal"/>
    <w:qFormat/>
    <w:rsid w:val="003B4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A36"/>
  </w:style>
  <w:style w:type="paragraph" w:styleId="TableofFigures">
    <w:name w:val="table of figures"/>
    <w:basedOn w:val="Normal"/>
    <w:next w:val="Normal"/>
    <w:semiHidden/>
    <w:rsid w:val="003B4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A36"/>
    <w:pPr>
      <w:numPr>
        <w:numId w:val="10"/>
      </w:numPr>
    </w:pPr>
  </w:style>
  <w:style w:type="character" w:customStyle="1" w:styleId="WingdingSymbols">
    <w:name w:val="Wingding Symbols"/>
    <w:rsid w:val="003B4A36"/>
    <w:rPr>
      <w:rFonts w:ascii="Wingdings" w:hAnsi="Wingdings"/>
    </w:rPr>
  </w:style>
  <w:style w:type="paragraph" w:customStyle="1" w:styleId="TableHeading">
    <w:name w:val="Table Heading"/>
    <w:basedOn w:val="HeadingBase"/>
    <w:rsid w:val="003B4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A36"/>
    <w:rPr>
      <w:color w:val="0033CC"/>
      <w:u w:val="none"/>
    </w:rPr>
  </w:style>
  <w:style w:type="paragraph" w:customStyle="1" w:styleId="BodyTextRight">
    <w:name w:val="Body Text Right"/>
    <w:basedOn w:val="BodyText"/>
    <w:rsid w:val="003B4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A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A36"/>
    <w:rPr>
      <w:sz w:val="32"/>
    </w:rPr>
  </w:style>
  <w:style w:type="paragraph" w:customStyle="1" w:styleId="HeadingProcedure">
    <w:name w:val="Heading Procedure"/>
    <w:basedOn w:val="HeadingBase"/>
    <w:next w:val="Normal"/>
    <w:rsid w:val="003B4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A36"/>
    <w:pPr>
      <w:spacing w:before="60" w:after="60"/>
    </w:pPr>
  </w:style>
  <w:style w:type="paragraph" w:styleId="ListContinue">
    <w:name w:val="List Continue"/>
    <w:basedOn w:val="List"/>
    <w:rsid w:val="003B4A36"/>
    <w:pPr>
      <w:ind w:firstLine="0"/>
    </w:pPr>
  </w:style>
  <w:style w:type="paragraph" w:customStyle="1" w:styleId="ListNote">
    <w:name w:val="List Note"/>
    <w:basedOn w:val="List"/>
    <w:rsid w:val="003B4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A36"/>
    <w:rPr>
      <w:rFonts w:ascii="Courier New" w:hAnsi="Courier New"/>
    </w:rPr>
  </w:style>
  <w:style w:type="paragraph" w:customStyle="1" w:styleId="NoteBullet">
    <w:name w:val="Note Bullet"/>
    <w:basedOn w:val="Note"/>
    <w:rsid w:val="003B4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A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A36"/>
    <w:rPr>
      <w:b/>
      <w:smallCaps/>
    </w:rPr>
  </w:style>
  <w:style w:type="paragraph" w:customStyle="1" w:styleId="TableListNumber">
    <w:name w:val="Table List Number"/>
    <w:basedOn w:val="ListNumber"/>
    <w:rsid w:val="003B4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A36"/>
    <w:pPr>
      <w:numPr>
        <w:numId w:val="8"/>
      </w:numPr>
    </w:pPr>
  </w:style>
  <w:style w:type="paragraph" w:customStyle="1" w:styleId="ListAlpha2">
    <w:name w:val="List Alpha 2"/>
    <w:basedOn w:val="List2"/>
    <w:rsid w:val="003B4A36"/>
    <w:pPr>
      <w:numPr>
        <w:numId w:val="7"/>
      </w:numPr>
    </w:pPr>
  </w:style>
  <w:style w:type="paragraph" w:styleId="List2">
    <w:name w:val="List 2"/>
    <w:basedOn w:val="BodyText"/>
    <w:rsid w:val="003B4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A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A36"/>
    <w:pPr>
      <w:numPr>
        <w:numId w:val="2"/>
      </w:numPr>
    </w:pPr>
  </w:style>
  <w:style w:type="paragraph" w:styleId="ListBullet5">
    <w:name w:val="List Bullet 5"/>
    <w:basedOn w:val="List5"/>
    <w:rsid w:val="003B4A36"/>
    <w:pPr>
      <w:numPr>
        <w:numId w:val="3"/>
      </w:numPr>
    </w:pPr>
  </w:style>
  <w:style w:type="paragraph" w:styleId="ListContinue2">
    <w:name w:val="List Continue 2"/>
    <w:basedOn w:val="List2"/>
    <w:rsid w:val="003B4A36"/>
    <w:pPr>
      <w:ind w:firstLine="0"/>
    </w:pPr>
  </w:style>
  <w:style w:type="paragraph" w:styleId="ListContinue3">
    <w:name w:val="List Continue 3"/>
    <w:basedOn w:val="List3"/>
    <w:rsid w:val="003B4A36"/>
    <w:pPr>
      <w:ind w:left="1021" w:firstLine="0"/>
    </w:pPr>
  </w:style>
  <w:style w:type="paragraph" w:styleId="ListContinue4">
    <w:name w:val="List Continue 4"/>
    <w:basedOn w:val="List4"/>
    <w:rsid w:val="003B4A36"/>
    <w:pPr>
      <w:ind w:firstLine="0"/>
    </w:pPr>
  </w:style>
  <w:style w:type="paragraph" w:styleId="ListContinue5">
    <w:name w:val="List Continue 5"/>
    <w:basedOn w:val="List5"/>
    <w:rsid w:val="003B4A36"/>
    <w:pPr>
      <w:ind w:firstLine="0"/>
    </w:pPr>
  </w:style>
  <w:style w:type="paragraph" w:styleId="ListNumber3">
    <w:name w:val="List Number 3"/>
    <w:basedOn w:val="List3"/>
    <w:rsid w:val="003B4A36"/>
    <w:pPr>
      <w:numPr>
        <w:numId w:val="4"/>
      </w:numPr>
    </w:pPr>
  </w:style>
  <w:style w:type="paragraph" w:styleId="ListNumber4">
    <w:name w:val="List Number 4"/>
    <w:basedOn w:val="List4"/>
    <w:rsid w:val="003B4A36"/>
    <w:pPr>
      <w:numPr>
        <w:numId w:val="5"/>
      </w:numPr>
    </w:pPr>
  </w:style>
  <w:style w:type="paragraph" w:styleId="ListNumber5">
    <w:name w:val="List Number 5"/>
    <w:basedOn w:val="List5"/>
    <w:rsid w:val="003B4A36"/>
    <w:pPr>
      <w:numPr>
        <w:numId w:val="6"/>
      </w:numPr>
    </w:pPr>
  </w:style>
  <w:style w:type="paragraph" w:styleId="BlockText">
    <w:name w:val="Block Text"/>
    <w:basedOn w:val="Normal"/>
    <w:rsid w:val="003B4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A36"/>
    <w:rPr>
      <w:sz w:val="16"/>
      <w:vertAlign w:val="superscript"/>
    </w:rPr>
  </w:style>
  <w:style w:type="character" w:customStyle="1" w:styleId="Symbols">
    <w:name w:val="Symbols"/>
    <w:basedOn w:val="DefaultParagraphFont"/>
    <w:rsid w:val="003B4A36"/>
    <w:rPr>
      <w:rFonts w:ascii="Symbol" w:hAnsi="Symbol"/>
    </w:rPr>
  </w:style>
  <w:style w:type="character" w:customStyle="1" w:styleId="MenuOptions">
    <w:name w:val="Menu Options"/>
    <w:basedOn w:val="DefaultParagraphFont"/>
    <w:rsid w:val="003B4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A36"/>
    <w:rPr>
      <w:b/>
    </w:rPr>
  </w:style>
  <w:style w:type="character" w:customStyle="1" w:styleId="Underlined">
    <w:name w:val="Underlined"/>
    <w:basedOn w:val="DefaultParagraphFont"/>
    <w:rsid w:val="003B4A36"/>
    <w:rPr>
      <w:u w:val="single"/>
    </w:rPr>
  </w:style>
  <w:style w:type="paragraph" w:customStyle="1" w:styleId="TableBodyTextRight">
    <w:name w:val="Table Body Text Right"/>
    <w:basedOn w:val="TableBodyText"/>
    <w:rsid w:val="003B4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A36"/>
    <w:rPr>
      <w:sz w:val="18"/>
    </w:rPr>
  </w:style>
  <w:style w:type="paragraph" w:customStyle="1" w:styleId="BodySmallRight">
    <w:name w:val="Body Small Right"/>
    <w:basedOn w:val="BodyTextRight"/>
    <w:rsid w:val="003B4A36"/>
    <w:rPr>
      <w:sz w:val="18"/>
      <w:szCs w:val="18"/>
    </w:rPr>
  </w:style>
  <w:style w:type="paragraph" w:customStyle="1" w:styleId="MarginEdition">
    <w:name w:val="Margin Edition"/>
    <w:basedOn w:val="MarginNote"/>
    <w:rsid w:val="003B4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A36"/>
    <w:rPr>
      <w:sz w:val="2"/>
      <w:szCs w:val="2"/>
    </w:rPr>
  </w:style>
  <w:style w:type="character" w:customStyle="1" w:styleId="Small">
    <w:name w:val="Small"/>
    <w:basedOn w:val="DefaultParagraphFont"/>
    <w:rsid w:val="003B4A36"/>
    <w:rPr>
      <w:sz w:val="16"/>
    </w:rPr>
  </w:style>
  <w:style w:type="paragraph" w:customStyle="1" w:styleId="WideTable">
    <w:name w:val="Wide Table"/>
    <w:basedOn w:val="Normal"/>
    <w:rsid w:val="003B4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A36"/>
  </w:style>
  <w:style w:type="paragraph" w:styleId="Quote">
    <w:name w:val="Quote"/>
    <w:basedOn w:val="Heading1"/>
    <w:link w:val="QuoteChar"/>
    <w:qFormat/>
    <w:rsid w:val="003B4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A36"/>
    <w:pPr>
      <w:pageBreakBefore/>
    </w:pPr>
  </w:style>
  <w:style w:type="paragraph" w:customStyle="1" w:styleId="Border">
    <w:name w:val="Border"/>
    <w:basedOn w:val="Normal"/>
    <w:qFormat/>
    <w:rsid w:val="003B4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A36"/>
    <w:rPr>
      <w:u w:val="single"/>
    </w:rPr>
  </w:style>
  <w:style w:type="character" w:customStyle="1" w:styleId="BoldandItalics">
    <w:name w:val="Bold and Italics"/>
    <w:qFormat/>
    <w:rsid w:val="003B4A36"/>
    <w:rPr>
      <w:b/>
      <w:i/>
      <w:u w:val="none"/>
    </w:rPr>
  </w:style>
  <w:style w:type="paragraph" w:styleId="BalloonText">
    <w:name w:val="Balloon Text"/>
    <w:basedOn w:val="Normal"/>
    <w:link w:val="BalloonTextChar"/>
    <w:rsid w:val="003B4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A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A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1063</Words>
  <Characters>6779</Characters>
  <Application>Microsoft Office Word</Application>
  <DocSecurity>0</DocSecurity>
  <Lines>241</Lines>
  <Paragraphs>193</Paragraphs>
  <ScaleCrop>false</ScaleCrop>
  <Company>Author-it Software Corporation Ltd.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DEF42712 Military Land Engineering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2013-01-24T03:53:00Z</dcterms:created>
  <dcterms:modified xsi:type="dcterms:W3CDTF">2013-01-24T03:54:00Z</dcterms:modified>
</cp:coreProperties>
</file>