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010" w:rsidP="00A46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DEFWHS001 Identify and monitor radiation hazards</w:t>
      </w:r>
      <w:r>
        <w:fldChar w:fldCharType="end"/>
      </w:r>
    </w:p>
    <w:p w:rsidR="00A46010" w:rsidP="00A46010">
      <w:pPr>
        <w:pStyle w:val="Version"/>
        <w:sectPr w:rsidSect="00EC5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7CE" w:rsidP="00EC57CE">
      <w:pPr>
        <w:pStyle w:val="SuperHeading"/>
      </w:pPr>
      <w:r w:rsidRPr="00EC57CE">
        <w:t>Assessment Requirements for DEFWHS001 Identify and monitor radiation hazards</w:t>
      </w:r>
    </w:p>
    <w:p w:rsidR="00000000" w:rsidRPr="00EC57CE" w:rsidP="00EC57CE">
      <w:pPr>
        <w:pStyle w:val="Heading1"/>
      </w:pPr>
      <w:bookmarkStart w:id="1" w:name="O_1145871"/>
      <w:bookmarkEnd w:id="1"/>
      <w:r w:rsidRPr="00EC57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CE" w:rsidP="00EC57CE">
            <w:pPr>
              <w:pStyle w:val="BodyText"/>
            </w:pPr>
            <w:r w:rsidRPr="00EC57CE">
              <w:t>Release 2.0. This is the second release of this unit of competency in the DEF Defence Training Package Release 4.0. Modifications have been made to:</w:t>
            </w:r>
          </w:p>
          <w:p w:rsidR="00000000" w:rsidRPr="00EC57CE" w:rsidP="00EC57CE">
            <w:pPr>
              <w:pStyle w:val="ListBullet"/>
            </w:pPr>
            <w:r w:rsidRPr="00EC57CE">
              <w:t>Foundation Skills</w:t>
            </w:r>
          </w:p>
          <w:p w:rsidR="00000000" w:rsidRPr="00EC57CE" w:rsidP="00EC57CE">
            <w:pPr>
              <w:pStyle w:val="ListBullet"/>
            </w:pPr>
            <w:r w:rsidRPr="00EC57CE">
              <w:t>Range of Conditions</w:t>
            </w:r>
          </w:p>
          <w:p w:rsidR="00000000" w:rsidP="00EC57CE">
            <w:pPr>
              <w:pStyle w:val="ListBullet"/>
              <w:rPr>
                <w:lang w:val="en-NZ"/>
              </w:rPr>
            </w:pPr>
            <w:r w:rsidRPr="00EC57CE">
              <w:t>Assessment Conditions.</w:t>
            </w:r>
          </w:p>
        </w:tc>
      </w:tr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CE" w:rsidP="00EC57CE">
            <w:pPr>
              <w:pStyle w:val="BodyText"/>
            </w:pPr>
            <w:r w:rsidRPr="00EC57CE">
              <w:t>Release 1.0. These Assessment Requirements w</w:t>
            </w:r>
            <w:r w:rsidRPr="00EC57CE">
              <w:t>ere released in DEF Defence Training Package release 1.0 and meet the Standards for Training Packages.</w:t>
            </w:r>
          </w:p>
          <w:p w:rsidR="00000000" w:rsidRPr="00EC57CE" w:rsidP="00EC57CE">
            <w:pPr>
              <w:pStyle w:val="ListBullet"/>
            </w:pPr>
            <w:r w:rsidRPr="00EC57CE">
              <w:t>Assessment Requirements created drawing upon specified assessment information from superseded unit.</w:t>
            </w:r>
          </w:p>
        </w:tc>
      </w:tr>
    </w:tbl>
    <w:p w:rsidR="00000000" w:rsidRPr="00EC57CE" w:rsidP="00EC57CE">
      <w:pPr>
        <w:pStyle w:val="NoPaddingFontSize1"/>
      </w:pPr>
    </w:p>
    <w:p w:rsidR="00000000" w:rsidRPr="00EC57CE" w:rsidP="00EC57CE">
      <w:pPr>
        <w:pStyle w:val="AllowPageBreak"/>
      </w:pPr>
    </w:p>
    <w:p w:rsidR="00000000" w:rsidRPr="00EC57CE" w:rsidP="00EC57CE">
      <w:pPr>
        <w:pStyle w:val="Heading1"/>
      </w:pPr>
      <w:bookmarkStart w:id="2" w:name="O_1145870"/>
      <w:bookmarkEnd w:id="2"/>
      <w:r w:rsidRPr="00EC57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CE">
            <w:pPr>
              <w:pStyle w:val="BodyText"/>
              <w:rPr>
                <w:lang w:val="en-NZ"/>
              </w:rPr>
            </w:pPr>
            <w:r w:rsidRPr="00EC57CE">
              <w:t>Evidence r</w:t>
            </w:r>
            <w:r w:rsidRPr="00EC57CE">
              <w:t>equired to demonstrate competence in this unit must be relevant to and satisfy all of the requirements of the elements and performance criteria on at least one occasion and includes:</w:t>
            </w:r>
          </w:p>
        </w:tc>
      </w:tr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CE" w:rsidP="00EC57CE">
            <w:pPr>
              <w:pStyle w:val="ListBullet"/>
            </w:pPr>
            <w:r w:rsidRPr="00EC57CE">
              <w:t>accessing, reading, interpreting and applying radiation safety plan</w:t>
            </w:r>
          </w:p>
          <w:p w:rsidR="00000000" w:rsidRPr="00EC57CE" w:rsidP="00EC57CE">
            <w:pPr>
              <w:pStyle w:val="ListBullet"/>
            </w:pPr>
            <w:r w:rsidRPr="00EC57CE">
              <w:t>identifying radiation sources</w:t>
            </w:r>
          </w:p>
          <w:p w:rsidR="00000000" w:rsidRPr="00EC57CE" w:rsidP="00EC57CE">
            <w:pPr>
              <w:pStyle w:val="ListBullet"/>
            </w:pPr>
            <w:r w:rsidRPr="00EC57CE">
              <w:t>undertaking risk assessment and control</w:t>
            </w:r>
          </w:p>
          <w:p w:rsidR="00000000" w:rsidRPr="00EC57CE" w:rsidP="00EC57CE">
            <w:pPr>
              <w:pStyle w:val="ListBullet"/>
            </w:pPr>
            <w:r w:rsidRPr="00EC57CE">
              <w:t>observing and responding to changing circumstances and unusual situations in the workplace</w:t>
            </w:r>
          </w:p>
          <w:p w:rsidR="00000000" w:rsidRPr="00EC57CE" w:rsidP="00EC57CE">
            <w:pPr>
              <w:pStyle w:val="ListBullet"/>
            </w:pPr>
            <w:r w:rsidRPr="00EC57CE">
              <w:t>making a subjective and qualitative assessment during a walk through/survey</w:t>
            </w:r>
          </w:p>
          <w:p w:rsidR="00000000" w:rsidRPr="00EC57CE" w:rsidP="00EC57CE">
            <w:pPr>
              <w:pStyle w:val="ListBullet"/>
            </w:pPr>
            <w:r w:rsidRPr="00EC57CE">
              <w:t>identifying changes</w:t>
            </w:r>
            <w:r w:rsidRPr="00EC57CE">
              <w:t xml:space="preserve"> in workplace configurations</w:t>
            </w:r>
          </w:p>
          <w:p w:rsidR="00000000" w:rsidRPr="00EC57CE" w:rsidP="00EC57CE">
            <w:pPr>
              <w:pStyle w:val="ListBullet"/>
            </w:pPr>
            <w:r w:rsidRPr="00EC57CE">
              <w:t>applying knowledge of relevant WHS legislative framework</w:t>
            </w:r>
          </w:p>
          <w:p w:rsidR="00000000" w:rsidRPr="00EC57CE" w:rsidP="00EC57CE">
            <w:pPr>
              <w:pStyle w:val="ListBullet"/>
            </w:pPr>
            <w:r w:rsidRPr="00EC57CE">
              <w:t>identifying inspection tools and methods appropriate to the workplace</w:t>
            </w:r>
          </w:p>
          <w:p w:rsidR="00000000" w:rsidRPr="00EC57CE" w:rsidP="00EC57CE">
            <w:pPr>
              <w:pStyle w:val="ListBullet"/>
            </w:pPr>
            <w:r w:rsidRPr="00EC57CE">
              <w:t>applying the principles and practices of WHS inspections</w:t>
            </w:r>
          </w:p>
          <w:p w:rsidR="00000000" w:rsidRPr="00EC57CE" w:rsidP="00EC57CE">
            <w:pPr>
              <w:pStyle w:val="ListBullet"/>
            </w:pPr>
            <w:r w:rsidRPr="00EC57CE">
              <w:t xml:space="preserve">identifying intervention points for advice </w:t>
            </w:r>
            <w:r w:rsidRPr="00EC57CE">
              <w:t>to assist in work and to guide problem solving.</w:t>
            </w:r>
          </w:p>
        </w:tc>
      </w:tr>
    </w:tbl>
    <w:p w:rsidR="00000000" w:rsidRPr="00EC57CE" w:rsidP="00EC57CE">
      <w:pPr>
        <w:pStyle w:val="NoPaddingFontSize1"/>
      </w:pPr>
    </w:p>
    <w:p w:rsidR="00000000" w:rsidRPr="00EC57CE" w:rsidP="00EC57CE">
      <w:pPr>
        <w:pStyle w:val="AllowPageBreak"/>
      </w:pPr>
    </w:p>
    <w:p w:rsidR="00000000" w:rsidRPr="00EC57CE" w:rsidP="00EC57CE">
      <w:pPr>
        <w:pStyle w:val="Heading1"/>
      </w:pPr>
      <w:bookmarkStart w:id="3" w:name="O_1145869"/>
      <w:bookmarkEnd w:id="3"/>
      <w:r w:rsidRPr="00EC57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CE">
            <w:pPr>
              <w:pStyle w:val="BodyText"/>
              <w:rPr>
                <w:lang w:val="en-NZ"/>
              </w:rPr>
            </w:pPr>
            <w:r w:rsidRPr="00EC57CE">
              <w:t>Evidence required to demonstrate competence in this unit must be relevant to and satisfy all of the requirements of the elements and performance criteria and include kn</w:t>
            </w:r>
            <w:r w:rsidRPr="00EC57CE">
              <w:t xml:space="preserve">owledge of: </w:t>
            </w:r>
          </w:p>
        </w:tc>
      </w:tr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CE" w:rsidP="00EC57CE">
            <w:pPr>
              <w:pStyle w:val="ListBullet"/>
            </w:pPr>
            <w:r w:rsidRPr="00EC57CE">
              <w:t>meaning of WHS symbols, signs and labels in the workplace</w:t>
            </w:r>
          </w:p>
          <w:p w:rsidR="00000000" w:rsidRPr="00EC57CE" w:rsidP="00EC57CE">
            <w:pPr>
              <w:pStyle w:val="ListBullet"/>
            </w:pPr>
            <w:r w:rsidRPr="00EC57CE">
              <w:t>WHS requirements relevant to radiation in the workplace</w:t>
            </w:r>
          </w:p>
          <w:p w:rsidR="00000000" w:rsidRPr="00EC57CE" w:rsidP="00EC57CE">
            <w:pPr>
              <w:pStyle w:val="ListBullet"/>
            </w:pPr>
            <w:r w:rsidRPr="00EC57CE">
              <w:t>WHS requirements for the workplace, including ways in which WHS is managed and designated personnel responsible for WHS</w:t>
            </w:r>
          </w:p>
          <w:p w:rsidR="00000000" w:rsidRPr="00EC57CE" w:rsidP="00EC57CE">
            <w:pPr>
              <w:pStyle w:val="ListBullet"/>
            </w:pPr>
            <w:r w:rsidRPr="00EC57CE">
              <w:t xml:space="preserve">organisational policy and standards relevant to radiation </w:t>
            </w:r>
          </w:p>
          <w:p w:rsidR="00000000" w:rsidRPr="00EC57CE" w:rsidP="00EC57CE">
            <w:pPr>
              <w:pStyle w:val="ListBullet"/>
            </w:pPr>
            <w:r w:rsidRPr="00EC57CE">
              <w:t>relevant Australian and international standards.</w:t>
            </w:r>
          </w:p>
        </w:tc>
      </w:tr>
    </w:tbl>
    <w:p w:rsidR="00000000" w:rsidRPr="00EC57CE" w:rsidP="00EC57CE">
      <w:pPr>
        <w:pStyle w:val="NoPaddingFontSize1"/>
      </w:pPr>
    </w:p>
    <w:p w:rsidR="00000000" w:rsidRPr="00EC57CE" w:rsidP="00EC57CE">
      <w:pPr>
        <w:pStyle w:val="AllowPageBreak"/>
      </w:pPr>
    </w:p>
    <w:p w:rsidR="00000000" w:rsidRPr="00EC57CE" w:rsidP="00EC57CE">
      <w:pPr>
        <w:pStyle w:val="Heading1"/>
      </w:pPr>
      <w:bookmarkStart w:id="4" w:name="O_1145868"/>
      <w:bookmarkEnd w:id="4"/>
      <w:r w:rsidRPr="00EC57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CE" w:rsidP="00EC57CE">
            <w:pPr>
              <w:pStyle w:val="BodyText"/>
            </w:pPr>
            <w:r w:rsidRPr="00EC57CE">
              <w:t>Assessors must hold credentials specified within the Standards for Registered Training Organisations curr</w:t>
            </w:r>
            <w:r w:rsidRPr="00EC57CE">
              <w:t>ent at the time of assessment.</w:t>
            </w:r>
          </w:p>
          <w:p w:rsidR="00000000" w:rsidRPr="00EC57CE" w:rsidP="00EC57CE">
            <w:pPr>
              <w:pStyle w:val="BodyText"/>
            </w:pPr>
            <w:r w:rsidRPr="00EC57C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C57CE" w:rsidP="00EC57CE">
            <w:pPr>
              <w:pStyle w:val="BodyText"/>
            </w:pPr>
            <w:r w:rsidRPr="00EC57CE">
              <w:t>Assessment must</w:t>
            </w:r>
            <w:r w:rsidRPr="00EC57CE">
              <w:t xml:space="preserve"> occur in workplace operational situations. Where this is not appropriate, assessment must occur in simulated workplace operational situations that reflect workplace conditions.</w:t>
            </w:r>
          </w:p>
          <w:p w:rsidR="00000000" w:rsidRPr="00EC57CE" w:rsidP="00EC57CE">
            <w:pPr>
              <w:pStyle w:val="BodyText"/>
            </w:pPr>
            <w:r w:rsidRPr="00EC57CE">
              <w:t>Assessment processes and techniques must be appropriate to the language, liter</w:t>
            </w:r>
            <w:r w:rsidRPr="00EC57CE">
              <w:t>acy and numeracy requirements of the work being performed and the needs of the candidate.</w:t>
            </w:r>
          </w:p>
          <w:p w:rsidR="00000000" w:rsidRPr="00EC57CE" w:rsidP="00EC57CE">
            <w:pPr>
              <w:pStyle w:val="BodyText"/>
            </w:pPr>
            <w:r w:rsidRPr="00EC57CE">
              <w:t>Resources for assessment must include access to:</w:t>
            </w:r>
          </w:p>
          <w:p w:rsidR="00000000" w:rsidRPr="00EC57CE" w:rsidP="00EC57CE">
            <w:pPr>
              <w:pStyle w:val="ListBullet"/>
            </w:pPr>
            <w:r w:rsidRPr="00EC57CE">
              <w:t xml:space="preserve">a range of relevant exercises, case studies and/or simulations </w:t>
            </w:r>
          </w:p>
          <w:p w:rsidR="00000000" w:rsidRPr="00EC57CE" w:rsidP="00EC57CE">
            <w:pPr>
              <w:pStyle w:val="ListBullet"/>
            </w:pPr>
            <w:r w:rsidRPr="00EC57CE">
              <w:t xml:space="preserve">acceptable means of simulation assessment </w:t>
            </w:r>
          </w:p>
          <w:p w:rsidR="00000000" w:rsidRPr="00EC57CE" w:rsidP="00EC57CE">
            <w:pPr>
              <w:pStyle w:val="ListBullet"/>
            </w:pPr>
            <w:r w:rsidRPr="00EC57CE">
              <w:t>applicable documentation, including workplace procedures, regulations, codes of practice and operation manuals</w:t>
            </w:r>
          </w:p>
          <w:p w:rsidR="00000000" w:rsidRPr="00EC57CE" w:rsidP="00EC57CE">
            <w:pPr>
              <w:pStyle w:val="ListBullet"/>
            </w:pPr>
            <w:r w:rsidRPr="00EC57CE">
              <w:t>relevant materials, tools, equipment and PPE currently used in industry.</w:t>
            </w:r>
          </w:p>
        </w:tc>
      </w:tr>
    </w:tbl>
    <w:p w:rsidR="00000000" w:rsidRPr="00EC57CE" w:rsidP="00EC57CE">
      <w:pPr>
        <w:pStyle w:val="NoPaddingFontSize1"/>
      </w:pPr>
    </w:p>
    <w:p w:rsidR="00000000" w:rsidRPr="00EC57CE" w:rsidP="00EC57CE">
      <w:pPr>
        <w:pStyle w:val="AllowPageBreak"/>
      </w:pPr>
    </w:p>
    <w:p w:rsidR="00000000" w:rsidRPr="00EC57CE" w:rsidP="00EC57CE">
      <w:pPr>
        <w:pStyle w:val="Heading1"/>
      </w:pPr>
      <w:bookmarkStart w:id="5" w:name="O_1145881"/>
      <w:bookmarkEnd w:id="5"/>
      <w:r w:rsidRPr="00EC57CE">
        <w:t>Links</w:t>
      </w:r>
    </w:p>
    <w:p w:rsidR="00000000" w:rsidRPr="00EC57CE" w:rsidP="00A46010">
      <w:pPr>
        <w:pStyle w:val="BodyText"/>
      </w:pPr>
      <w:r w:rsidRPr="00EC57CE">
        <w:t>Companion Volume Implementation Guides are fo</w:t>
      </w:r>
      <w:r w:rsidRPr="00EC57CE">
        <w:t xml:space="preserve">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12C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C57CE" w:rsidP="00EC57CE"/>
    <w:sectPr w:rsidSect="00EC5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E" w:rsidRPr="00A46010" w:rsidP="00A46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10" w:rsidP="00EC5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6010" w:rsidP="00EC5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46010" w:rsidP="00EC5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7CE" w:rsidRPr="00A46010" w:rsidP="00A46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10" w:rsidRPr="002D2AF8" w:rsidP="00EC5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DEFWHS001 Identify and monitor radiation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46010" w:rsidP="00EC5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4C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5EA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7CE"/>
  </w:style>
  <w:style w:type="character" w:customStyle="1" w:styleId="Heading1Char">
    <w:name w:val="Heading 1 Char"/>
    <w:basedOn w:val="DefaultParagraphFont"/>
    <w:link w:val="Heading1"/>
    <w:rsid w:val="00EC5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7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7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5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5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7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7CE"/>
    <w:rPr>
      <w:b/>
      <w:spacing w:val="0"/>
    </w:rPr>
  </w:style>
  <w:style w:type="paragraph" w:customStyle="1" w:styleId="SuperTitle">
    <w:name w:val="SuperTitle"/>
    <w:basedOn w:val="Title"/>
    <w:rsid w:val="00EC5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7CE"/>
    <w:rPr>
      <w:i/>
    </w:rPr>
  </w:style>
  <w:style w:type="paragraph" w:styleId="Caption">
    <w:name w:val="caption"/>
    <w:basedOn w:val="BodyText"/>
    <w:next w:val="Normal"/>
    <w:qFormat/>
    <w:rsid w:val="00EC5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7CE"/>
  </w:style>
  <w:style w:type="paragraph" w:styleId="TableofFigures">
    <w:name w:val="table of figures"/>
    <w:basedOn w:val="Normal"/>
    <w:next w:val="Normal"/>
    <w:semiHidden/>
    <w:rsid w:val="00EC5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7CE"/>
    <w:rPr>
      <w:rFonts w:ascii="Wingdings" w:hAnsi="Wingdings"/>
    </w:rPr>
  </w:style>
  <w:style w:type="paragraph" w:customStyle="1" w:styleId="TableHeading">
    <w:name w:val="Table Heading"/>
    <w:basedOn w:val="HeadingBase"/>
    <w:rsid w:val="00EC5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7CE"/>
    <w:rPr>
      <w:color w:val="0033CC"/>
      <w:u w:val="none"/>
    </w:rPr>
  </w:style>
  <w:style w:type="paragraph" w:customStyle="1" w:styleId="BodyTextRight">
    <w:name w:val="Body Text Right"/>
    <w:basedOn w:val="BodyText"/>
    <w:rsid w:val="00EC5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7CE"/>
    <w:rPr>
      <w:sz w:val="32"/>
    </w:rPr>
  </w:style>
  <w:style w:type="paragraph" w:customStyle="1" w:styleId="HeadingProcedure">
    <w:name w:val="Heading Procedure"/>
    <w:basedOn w:val="HeadingBase"/>
    <w:next w:val="Normal"/>
    <w:rsid w:val="00EC5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7CE"/>
    <w:pPr>
      <w:spacing w:before="60" w:after="60"/>
    </w:pPr>
  </w:style>
  <w:style w:type="paragraph" w:styleId="ListContinue">
    <w:name w:val="List Continue"/>
    <w:basedOn w:val="List"/>
    <w:rsid w:val="00EC57CE"/>
    <w:pPr>
      <w:ind w:firstLine="0"/>
    </w:pPr>
  </w:style>
  <w:style w:type="paragraph" w:customStyle="1" w:styleId="ListNote">
    <w:name w:val="List Note"/>
    <w:basedOn w:val="List"/>
    <w:rsid w:val="00EC5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7CE"/>
    <w:rPr>
      <w:rFonts w:ascii="Courier New" w:hAnsi="Courier New"/>
    </w:rPr>
  </w:style>
  <w:style w:type="paragraph" w:customStyle="1" w:styleId="NoteBullet">
    <w:name w:val="Note Bullet"/>
    <w:basedOn w:val="Note"/>
    <w:rsid w:val="00EC5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7CE"/>
    <w:rPr>
      <w:b/>
      <w:smallCaps/>
    </w:rPr>
  </w:style>
  <w:style w:type="paragraph" w:customStyle="1" w:styleId="TableListNumber">
    <w:name w:val="Table List Number"/>
    <w:basedOn w:val="ListNumber"/>
    <w:rsid w:val="00EC5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7CE"/>
    <w:pPr>
      <w:numPr>
        <w:numId w:val="8"/>
      </w:numPr>
    </w:pPr>
  </w:style>
  <w:style w:type="paragraph" w:customStyle="1" w:styleId="ListAlpha2">
    <w:name w:val="List Alpha 2"/>
    <w:basedOn w:val="List2"/>
    <w:rsid w:val="00EC57CE"/>
    <w:pPr>
      <w:numPr>
        <w:numId w:val="7"/>
      </w:numPr>
    </w:pPr>
  </w:style>
  <w:style w:type="paragraph" w:styleId="List2">
    <w:name w:val="List 2"/>
    <w:basedOn w:val="BodyText"/>
    <w:rsid w:val="00EC5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7CE"/>
    <w:pPr>
      <w:numPr>
        <w:numId w:val="3"/>
      </w:numPr>
    </w:pPr>
  </w:style>
  <w:style w:type="paragraph" w:styleId="ListContinue2">
    <w:name w:val="List Continue 2"/>
    <w:basedOn w:val="List2"/>
    <w:rsid w:val="00EC57CE"/>
    <w:pPr>
      <w:ind w:firstLine="0"/>
    </w:pPr>
  </w:style>
  <w:style w:type="paragraph" w:styleId="ListContinue3">
    <w:name w:val="List Continue 3"/>
    <w:basedOn w:val="List3"/>
    <w:rsid w:val="00EC57CE"/>
    <w:pPr>
      <w:ind w:left="1021" w:firstLine="0"/>
    </w:pPr>
  </w:style>
  <w:style w:type="paragraph" w:styleId="ListContinue4">
    <w:name w:val="List Continue 4"/>
    <w:basedOn w:val="List4"/>
    <w:rsid w:val="00EC57CE"/>
    <w:pPr>
      <w:ind w:firstLine="0"/>
    </w:pPr>
  </w:style>
  <w:style w:type="paragraph" w:styleId="ListContinue5">
    <w:name w:val="List Continue 5"/>
    <w:basedOn w:val="List5"/>
    <w:rsid w:val="00EC57CE"/>
    <w:pPr>
      <w:ind w:firstLine="0"/>
    </w:pPr>
  </w:style>
  <w:style w:type="paragraph" w:styleId="ListNumber3">
    <w:name w:val="List Number 3"/>
    <w:basedOn w:val="List3"/>
    <w:rsid w:val="00EC57CE"/>
    <w:pPr>
      <w:numPr>
        <w:numId w:val="4"/>
      </w:numPr>
    </w:pPr>
  </w:style>
  <w:style w:type="paragraph" w:styleId="ListNumber4">
    <w:name w:val="List Number 4"/>
    <w:basedOn w:val="List4"/>
    <w:rsid w:val="00EC57CE"/>
    <w:pPr>
      <w:numPr>
        <w:numId w:val="5"/>
      </w:numPr>
    </w:pPr>
  </w:style>
  <w:style w:type="paragraph" w:styleId="ListNumber5">
    <w:name w:val="List Number 5"/>
    <w:basedOn w:val="List5"/>
    <w:rsid w:val="00EC57CE"/>
    <w:pPr>
      <w:numPr>
        <w:numId w:val="6"/>
      </w:numPr>
    </w:pPr>
  </w:style>
  <w:style w:type="paragraph" w:styleId="BlockText">
    <w:name w:val="Block Text"/>
    <w:basedOn w:val="Normal"/>
    <w:rsid w:val="00EC5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7CE"/>
    <w:rPr>
      <w:sz w:val="16"/>
      <w:vertAlign w:val="superscript"/>
    </w:rPr>
  </w:style>
  <w:style w:type="character" w:customStyle="1" w:styleId="Symbols">
    <w:name w:val="Symbols"/>
    <w:basedOn w:val="DefaultParagraphFont"/>
    <w:rsid w:val="00EC57CE"/>
    <w:rPr>
      <w:rFonts w:ascii="Symbol" w:hAnsi="Symbol"/>
    </w:rPr>
  </w:style>
  <w:style w:type="character" w:customStyle="1" w:styleId="MenuOptions">
    <w:name w:val="Menu Options"/>
    <w:basedOn w:val="DefaultParagraphFont"/>
    <w:rsid w:val="00EC5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7CE"/>
    <w:rPr>
      <w:b/>
    </w:rPr>
  </w:style>
  <w:style w:type="character" w:customStyle="1" w:styleId="Underlined">
    <w:name w:val="Underlined"/>
    <w:basedOn w:val="DefaultParagraphFont"/>
    <w:rsid w:val="00EC57CE"/>
    <w:rPr>
      <w:u w:val="single"/>
    </w:rPr>
  </w:style>
  <w:style w:type="paragraph" w:customStyle="1" w:styleId="TableBodyTextRight">
    <w:name w:val="Table Body Text Right"/>
    <w:basedOn w:val="TableBodyText"/>
    <w:rsid w:val="00EC5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7CE"/>
    <w:rPr>
      <w:sz w:val="18"/>
    </w:rPr>
  </w:style>
  <w:style w:type="paragraph" w:customStyle="1" w:styleId="BodySmallRight">
    <w:name w:val="Body Small Right"/>
    <w:basedOn w:val="BodyTextRight"/>
    <w:rsid w:val="00EC57CE"/>
    <w:rPr>
      <w:sz w:val="18"/>
      <w:szCs w:val="18"/>
    </w:rPr>
  </w:style>
  <w:style w:type="paragraph" w:customStyle="1" w:styleId="MarginEdition">
    <w:name w:val="Margin Edition"/>
    <w:basedOn w:val="MarginNote"/>
    <w:rsid w:val="00EC5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7CE"/>
    <w:rPr>
      <w:sz w:val="2"/>
      <w:szCs w:val="2"/>
    </w:rPr>
  </w:style>
  <w:style w:type="character" w:customStyle="1" w:styleId="Small">
    <w:name w:val="Small"/>
    <w:basedOn w:val="DefaultParagraphFont"/>
    <w:rsid w:val="00EC57CE"/>
    <w:rPr>
      <w:sz w:val="16"/>
    </w:rPr>
  </w:style>
  <w:style w:type="paragraph" w:customStyle="1" w:styleId="WideTable">
    <w:name w:val="Wide Table"/>
    <w:basedOn w:val="Normal"/>
    <w:rsid w:val="00EC5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7CE"/>
  </w:style>
  <w:style w:type="paragraph" w:styleId="Quote">
    <w:name w:val="Quote"/>
    <w:basedOn w:val="Heading1"/>
    <w:link w:val="QuoteChar"/>
    <w:qFormat/>
    <w:rsid w:val="00EC5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7CE"/>
    <w:pPr>
      <w:pageBreakBefore/>
    </w:pPr>
  </w:style>
  <w:style w:type="paragraph" w:customStyle="1" w:styleId="Border">
    <w:name w:val="Border"/>
    <w:basedOn w:val="Normal"/>
    <w:qFormat/>
    <w:rsid w:val="00EC5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7CE"/>
    <w:rPr>
      <w:u w:val="single"/>
    </w:rPr>
  </w:style>
  <w:style w:type="character" w:customStyle="1" w:styleId="BoldandItalics">
    <w:name w:val="Bold and Italics"/>
    <w:qFormat/>
    <w:rsid w:val="00EC57CE"/>
    <w:rPr>
      <w:b/>
      <w:i/>
      <w:u w:val="none"/>
    </w:rPr>
  </w:style>
  <w:style w:type="paragraph" w:styleId="BalloonText">
    <w:name w:val="Balloon Text"/>
    <w:basedOn w:val="Normal"/>
    <w:link w:val="BalloonTextChar"/>
    <w:rsid w:val="00EC5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7CE"/>
    <w:pPr>
      <w:spacing w:before="0" w:after="0"/>
    </w:pPr>
  </w:style>
  <w:style w:type="paragraph" w:customStyle="1" w:styleId="BodyTextBold">
    <w:name w:val="Body Text Bold"/>
    <w:basedOn w:val="BodyText"/>
    <w:qFormat/>
    <w:rsid w:val="00EC57CE"/>
    <w:rPr>
      <w:b/>
    </w:rPr>
  </w:style>
  <w:style w:type="character" w:styleId="Hyperlink">
    <w:name w:val="Hyperlink"/>
    <w:basedOn w:val="DefaultParagraphFont"/>
    <w:uiPriority w:val="99"/>
    <w:unhideWhenUsed/>
    <w:rsid w:val="00A46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2982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DEFWHS001 Identify and monitor radiation hazards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