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78C" w:rsidP="003507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DEFWDV026 Dive using surface-supplied breathing apparatus (SSBA) in open water to 30 metres</w:t>
      </w:r>
      <w:r>
        <w:fldChar w:fldCharType="end"/>
      </w:r>
    </w:p>
    <w:p w:rsidR="0035078C" w:rsidP="0035078C">
      <w:pPr>
        <w:pStyle w:val="Version"/>
        <w:sectPr w:rsidSect="00A204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4D5" w:rsidP="00A204D5">
      <w:pPr>
        <w:pStyle w:val="SuperHeading"/>
      </w:pPr>
      <w:r w:rsidRPr="00A204D5">
        <w:t>Assessment Requirements for DEFWDV026 Dive using surface-supplied breathing apparatus (SSBA) in open water to 30 metres</w:t>
      </w:r>
    </w:p>
    <w:p w:rsidR="00000000" w:rsidRPr="00A204D5" w:rsidP="00A204D5">
      <w:pPr>
        <w:pStyle w:val="Heading1"/>
      </w:pPr>
      <w:bookmarkStart w:id="1" w:name="O_1239952"/>
      <w:bookmarkEnd w:id="1"/>
      <w:r w:rsidRPr="00A204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5" w:rsidP="00A204D5">
            <w:pPr>
              <w:pStyle w:val="BodyText"/>
            </w:pPr>
            <w:r w:rsidRPr="00A204D5">
              <w:t>Release 1. This is the first release of this unit of competency in the DEF Defence Training Package.</w:t>
            </w:r>
          </w:p>
        </w:tc>
      </w:tr>
    </w:tbl>
    <w:p w:rsidR="00000000" w:rsidRPr="00A204D5" w:rsidP="00A204D5">
      <w:pPr>
        <w:pStyle w:val="NoPaddingFontSize1"/>
      </w:pPr>
    </w:p>
    <w:p w:rsidR="00000000" w:rsidRPr="00A204D5" w:rsidP="00A204D5">
      <w:pPr>
        <w:pStyle w:val="AllowPageBreak"/>
      </w:pPr>
    </w:p>
    <w:p w:rsidR="00000000" w:rsidRPr="00A204D5" w:rsidP="00A204D5">
      <w:pPr>
        <w:pStyle w:val="Heading1"/>
      </w:pPr>
      <w:bookmarkStart w:id="2" w:name="O_1239953"/>
      <w:bookmarkEnd w:id="2"/>
      <w:r w:rsidRPr="00A204D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5">
            <w:pPr>
              <w:pStyle w:val="BodyText"/>
              <w:rPr>
                <w:lang w:val="en-NZ"/>
              </w:rPr>
            </w:pPr>
            <w:r w:rsidRPr="00A204D5">
              <w:t xml:space="preserve">Evidence required to demonstrate competence in this unit must be relevant to and satisfy all the requirements of </w:t>
            </w:r>
            <w:r w:rsidRPr="00A204D5">
              <w:t>the elements and performance criteria on at least one occasion and include:</w:t>
            </w:r>
          </w:p>
        </w:tc>
      </w:tr>
      <w:tr w:rsidTr="00A20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5" w:rsidP="00A204D5">
            <w:pPr>
              <w:pStyle w:val="ListBullet"/>
            </w:pPr>
            <w:r w:rsidRPr="00A204D5">
              <w:t>applying relevant industry standards, and organisational policies and procedures</w:t>
            </w:r>
          </w:p>
          <w:p w:rsidR="00000000" w:rsidRPr="00A204D5" w:rsidP="00A204D5">
            <w:pPr>
              <w:pStyle w:val="ListBullet"/>
            </w:pPr>
            <w:r w:rsidRPr="00A204D5">
              <w:t>conducting in-water checks</w:t>
            </w:r>
          </w:p>
          <w:p w:rsidR="00000000" w:rsidRPr="00A204D5" w:rsidP="00A204D5">
            <w:pPr>
              <w:pStyle w:val="ListBullet"/>
            </w:pPr>
            <w:r w:rsidRPr="00A204D5">
              <w:t>conducting surface-supply panel operator level maintenance</w:t>
            </w:r>
          </w:p>
          <w:p w:rsidR="00000000" w:rsidRPr="00A204D5" w:rsidP="00A204D5">
            <w:pPr>
              <w:pStyle w:val="ListBullet"/>
            </w:pPr>
            <w:r w:rsidRPr="00A204D5">
              <w:t xml:space="preserve">confirming </w:t>
            </w:r>
            <w:r w:rsidRPr="00A204D5">
              <w:t>independent third-party equipment checks</w:t>
            </w:r>
          </w:p>
          <w:p w:rsidR="00000000" w:rsidRPr="00A204D5" w:rsidP="00A204D5">
            <w:pPr>
              <w:pStyle w:val="ListBullet"/>
            </w:pPr>
            <w:r w:rsidRPr="00A204D5">
              <w:t>diving using surface-supplied breathing apparatus (SSBA) in open water to 30 metres</w:t>
            </w:r>
          </w:p>
          <w:p w:rsidR="00000000" w:rsidRPr="00A204D5" w:rsidP="00A204D5">
            <w:pPr>
              <w:pStyle w:val="ListBullet"/>
            </w:pPr>
            <w:r w:rsidRPr="00A204D5">
              <w:t>entering and exiting the water appropriate to the launch platform, equipment and conditions</w:t>
            </w:r>
          </w:p>
          <w:p w:rsidR="00000000" w:rsidRPr="00A204D5" w:rsidP="00A204D5">
            <w:pPr>
              <w:pStyle w:val="ListBullet"/>
            </w:pPr>
            <w:r w:rsidRPr="00A204D5">
              <w:t>implementing contingency and emergency response plan</w:t>
            </w:r>
          </w:p>
          <w:p w:rsidR="00000000" w:rsidRPr="00A204D5" w:rsidP="00A204D5">
            <w:pPr>
              <w:pStyle w:val="ListBullet"/>
            </w:pPr>
            <w:r w:rsidRPr="00A204D5">
              <w:t>maintaining equipment during dive</w:t>
            </w:r>
          </w:p>
          <w:p w:rsidR="00000000" w:rsidRPr="00A204D5" w:rsidP="00A204D5">
            <w:pPr>
              <w:pStyle w:val="ListBullet"/>
            </w:pPr>
            <w:r w:rsidRPr="00A204D5">
              <w:t>maintaining records according to organisational policies and procedures</w:t>
            </w:r>
          </w:p>
          <w:p w:rsidR="00000000" w:rsidRPr="00A204D5" w:rsidP="00A204D5">
            <w:pPr>
              <w:pStyle w:val="ListBullet"/>
            </w:pPr>
            <w:r w:rsidRPr="00A204D5">
              <w:t>operating surface-supply panel</w:t>
            </w:r>
          </w:p>
          <w:p w:rsidR="00000000" w:rsidRPr="00A204D5" w:rsidP="00A204D5">
            <w:pPr>
              <w:pStyle w:val="ListBullet"/>
            </w:pPr>
            <w:r w:rsidRPr="00A204D5">
              <w:t>preparing equipment for dive</w:t>
            </w:r>
          </w:p>
          <w:p w:rsidR="00000000" w:rsidRPr="00A204D5" w:rsidP="00A204D5">
            <w:pPr>
              <w:pStyle w:val="ListBullet"/>
            </w:pPr>
            <w:r w:rsidRPr="00A204D5">
              <w:t>preparing surface control panel for d</w:t>
            </w:r>
            <w:r w:rsidRPr="00A204D5">
              <w:t>ive</w:t>
            </w:r>
          </w:p>
          <w:p w:rsidR="00000000" w:rsidRPr="00A204D5" w:rsidP="00A204D5">
            <w:pPr>
              <w:pStyle w:val="ListBullet"/>
            </w:pPr>
            <w:r w:rsidRPr="00A204D5">
              <w:t>switching from SSBA primary to reserve breathing gas system.</w:t>
            </w:r>
          </w:p>
        </w:tc>
      </w:tr>
    </w:tbl>
    <w:p w:rsidR="00000000" w:rsidRPr="00A204D5" w:rsidP="00A204D5">
      <w:pPr>
        <w:pStyle w:val="NoPaddingFontSize1"/>
      </w:pPr>
    </w:p>
    <w:p w:rsidR="00000000" w:rsidRPr="00A204D5" w:rsidP="00A204D5">
      <w:pPr>
        <w:pStyle w:val="AllowPageBreak"/>
      </w:pPr>
    </w:p>
    <w:p w:rsidR="00000000" w:rsidRPr="00A204D5" w:rsidP="00A204D5">
      <w:pPr>
        <w:pStyle w:val="Heading1"/>
      </w:pPr>
      <w:bookmarkStart w:id="3" w:name="O_1239954"/>
      <w:bookmarkEnd w:id="3"/>
      <w:r w:rsidRPr="00A204D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5">
            <w:pPr>
              <w:pStyle w:val="BodyText"/>
              <w:rPr>
                <w:lang w:val="en-NZ"/>
              </w:rPr>
            </w:pPr>
            <w:r w:rsidRPr="00A204D5">
              <w:t xml:space="preserve">Evidence required to demonstrate competence in this unit must be relevant to and satisfy all the requirements of the elements and performance criteria </w:t>
            </w:r>
            <w:r w:rsidRPr="00A204D5">
              <w:t>and include knowledge of:</w:t>
            </w:r>
          </w:p>
        </w:tc>
      </w:tr>
      <w:tr w:rsidTr="00A20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5" w:rsidP="00A204D5">
            <w:pPr>
              <w:pStyle w:val="ListBullet"/>
            </w:pPr>
            <w:r w:rsidRPr="00A204D5">
              <w:t>dive physics and decompression tables</w:t>
            </w:r>
          </w:p>
          <w:p w:rsidR="00000000" w:rsidRPr="00A204D5" w:rsidP="00A204D5">
            <w:pPr>
              <w:pStyle w:val="ListBullet"/>
            </w:pPr>
            <w:r w:rsidRPr="00A204D5">
              <w:t>dive physiology and medicine, including:</w:t>
            </w:r>
          </w:p>
          <w:p w:rsidR="00000000" w:rsidRPr="00A204D5" w:rsidP="00A204D5">
            <w:pPr>
              <w:pStyle w:val="ListBullet2"/>
            </w:pPr>
            <w:r w:rsidRPr="00A204D5">
              <w:t>decompression illnesses</w:t>
            </w:r>
          </w:p>
          <w:p w:rsidR="00000000" w:rsidRPr="00A204D5" w:rsidP="00A204D5">
            <w:pPr>
              <w:pStyle w:val="ListBullet2"/>
            </w:pPr>
            <w:r w:rsidRPr="00A204D5">
              <w:t>hypothermia and hyperthermia compression illnesses</w:t>
            </w:r>
          </w:p>
          <w:p w:rsidR="00000000" w:rsidRPr="00A204D5" w:rsidP="00A204D5">
            <w:pPr>
              <w:pStyle w:val="ListBullet"/>
            </w:pPr>
            <w:r w:rsidRPr="00A204D5">
              <w:t>diving descent and ascent techniques, including decompression procedures</w:t>
            </w:r>
          </w:p>
          <w:p w:rsidR="00000000" w:rsidRPr="00A204D5" w:rsidP="00A204D5">
            <w:pPr>
              <w:pStyle w:val="ListBullet"/>
            </w:pPr>
            <w:r w:rsidRPr="00A204D5">
              <w:t>general occupational/diving safety awareness, including:</w:t>
            </w:r>
          </w:p>
          <w:p w:rsidR="00000000" w:rsidRPr="00A204D5" w:rsidP="00A204D5">
            <w:pPr>
              <w:pStyle w:val="ListBullet2"/>
            </w:pPr>
            <w:r w:rsidRPr="00A204D5">
              <w:t>diving in harbours</w:t>
            </w:r>
          </w:p>
          <w:p w:rsidR="00000000" w:rsidRPr="00A204D5" w:rsidP="00A204D5">
            <w:pPr>
              <w:pStyle w:val="ListBullet2"/>
            </w:pPr>
            <w:r w:rsidRPr="00A204D5">
              <w:t>diving in tidal waters, currents and tides</w:t>
            </w:r>
          </w:p>
          <w:p w:rsidR="00000000" w:rsidRPr="00A204D5" w:rsidP="00A204D5">
            <w:pPr>
              <w:pStyle w:val="ListBullet2"/>
            </w:pPr>
            <w:r w:rsidRPr="00A204D5">
              <w:t xml:space="preserve">diving on and/or near a ship’s hull </w:t>
            </w:r>
          </w:p>
          <w:p w:rsidR="00000000" w:rsidRPr="00A204D5" w:rsidP="00A204D5">
            <w:pPr>
              <w:pStyle w:val="ListBullet2"/>
            </w:pPr>
            <w:r w:rsidRPr="00A204D5">
              <w:t>entrapment/foul lines</w:t>
            </w:r>
          </w:p>
          <w:p w:rsidR="00000000" w:rsidRPr="00A204D5" w:rsidP="00A204D5">
            <w:pPr>
              <w:pStyle w:val="ListBullet2"/>
            </w:pPr>
            <w:r w:rsidRPr="00A204D5">
              <w:t>lost/separated</w:t>
            </w:r>
          </w:p>
          <w:p w:rsidR="00000000" w:rsidRPr="00A204D5" w:rsidP="00A204D5">
            <w:pPr>
              <w:pStyle w:val="ListBullet2"/>
            </w:pPr>
            <w:r w:rsidRPr="00A204D5">
              <w:t>marine animal threats</w:t>
            </w:r>
          </w:p>
          <w:p w:rsidR="00000000" w:rsidRPr="00A204D5" w:rsidP="00A204D5">
            <w:pPr>
              <w:pStyle w:val="ListBullet2"/>
            </w:pPr>
            <w:r w:rsidRPr="00A204D5">
              <w:t>marine hazards</w:t>
            </w:r>
          </w:p>
          <w:p w:rsidR="00000000" w:rsidRPr="00A204D5" w:rsidP="00A204D5">
            <w:pPr>
              <w:pStyle w:val="ListBullet2"/>
            </w:pPr>
            <w:r w:rsidRPr="00A204D5">
              <w:t>pollution/weeds</w:t>
            </w:r>
          </w:p>
          <w:p w:rsidR="00000000" w:rsidRPr="00A204D5" w:rsidP="00A204D5">
            <w:pPr>
              <w:pStyle w:val="ListBullet2"/>
            </w:pPr>
            <w:r w:rsidRPr="00A204D5">
              <w:t xml:space="preserve">working </w:t>
            </w:r>
            <w:r w:rsidRPr="00A204D5">
              <w:t>in confined spaces</w:t>
            </w:r>
          </w:p>
          <w:p w:rsidR="00000000" w:rsidRPr="00A204D5" w:rsidP="00A204D5">
            <w:pPr>
              <w:pStyle w:val="ListBullet2"/>
            </w:pPr>
            <w:r w:rsidRPr="00A204D5">
              <w:t>working in sites with potential differential pressure hazards (Delta P)</w:t>
            </w:r>
          </w:p>
          <w:p w:rsidR="00000000" w:rsidRPr="00A204D5" w:rsidP="00A204D5">
            <w:pPr>
              <w:pStyle w:val="ListBullet"/>
            </w:pPr>
            <w:r w:rsidRPr="00A204D5">
              <w:t>organisational policies and procedures</w:t>
            </w:r>
          </w:p>
          <w:p w:rsidR="00000000" w:rsidRPr="00A204D5" w:rsidP="00A204D5">
            <w:pPr>
              <w:pStyle w:val="ListBullet"/>
            </w:pPr>
            <w:r w:rsidRPr="00A204D5">
              <w:t>relevant industry standards</w:t>
            </w:r>
          </w:p>
          <w:p w:rsidR="00000000" w:rsidRPr="00A204D5" w:rsidP="00A204D5">
            <w:pPr>
              <w:pStyle w:val="ListBullet"/>
            </w:pPr>
            <w:r w:rsidRPr="00A204D5">
              <w:t>safe operating ranges for breathing gas supplies</w:t>
            </w:r>
          </w:p>
          <w:p w:rsidR="00000000" w:rsidRPr="00A204D5" w:rsidP="00A204D5">
            <w:pPr>
              <w:pStyle w:val="ListBullet"/>
            </w:pPr>
            <w:r w:rsidRPr="00A204D5">
              <w:t>SSBA dive equipment characteristics and limitations</w:t>
            </w:r>
          </w:p>
          <w:p w:rsidR="00000000" w:rsidRPr="00A204D5" w:rsidP="00A204D5">
            <w:pPr>
              <w:pStyle w:val="ListBullet"/>
            </w:pPr>
            <w:r w:rsidRPr="00A204D5">
              <w:t>surface-supply panel and SSBA dive equipment serviceability checks</w:t>
            </w:r>
          </w:p>
          <w:p w:rsidR="00000000" w:rsidRPr="00A204D5" w:rsidP="00A204D5">
            <w:pPr>
              <w:pStyle w:val="ListBullet"/>
            </w:pPr>
            <w:r w:rsidRPr="00A204D5">
              <w:t>surface-supply panel and SSBA dive equipment storage requirements</w:t>
            </w:r>
          </w:p>
          <w:p w:rsidR="00000000" w:rsidRPr="00A204D5" w:rsidP="00A204D5">
            <w:pPr>
              <w:pStyle w:val="ListBullet"/>
            </w:pPr>
            <w:r w:rsidRPr="00A204D5">
              <w:t>surface-supply panel characteristics and limitations</w:t>
            </w:r>
          </w:p>
          <w:p w:rsidR="00000000" w:rsidRPr="00A204D5" w:rsidP="00A204D5">
            <w:pPr>
              <w:pStyle w:val="ListBullet"/>
            </w:pPr>
            <w:r w:rsidRPr="00A204D5">
              <w:t>surface-supply pan</w:t>
            </w:r>
            <w:r w:rsidRPr="00A204D5">
              <w:t>el operational maintenance requirements.</w:t>
            </w:r>
          </w:p>
        </w:tc>
      </w:tr>
    </w:tbl>
    <w:p w:rsidR="00000000" w:rsidRPr="00A204D5" w:rsidP="00A204D5">
      <w:pPr>
        <w:pStyle w:val="NoPaddingFontSize1"/>
      </w:pPr>
    </w:p>
    <w:p w:rsidR="00000000" w:rsidRPr="00A204D5" w:rsidP="00A204D5">
      <w:pPr>
        <w:pStyle w:val="AllowPageBreak"/>
      </w:pPr>
    </w:p>
    <w:p w:rsidR="00000000" w:rsidRPr="00A204D5" w:rsidP="00A204D5">
      <w:pPr>
        <w:pStyle w:val="Heading1"/>
      </w:pPr>
      <w:bookmarkStart w:id="4" w:name="O_1239955"/>
      <w:bookmarkEnd w:id="4"/>
      <w:r w:rsidRPr="00A204D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0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5" w:rsidP="00A204D5">
            <w:pPr>
              <w:pStyle w:val="BodyText"/>
            </w:pPr>
            <w:r w:rsidRPr="00A204D5">
              <w:t xml:space="preserve">Assessors must hold credentials specified within the Standards for Registered Training Organisations current at the time of assessment. </w:t>
            </w:r>
          </w:p>
          <w:p w:rsidR="00000000" w:rsidRPr="00A204D5" w:rsidP="00A204D5">
            <w:pPr>
              <w:pStyle w:val="BodyText"/>
            </w:pPr>
            <w:r w:rsidRPr="00A204D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204D5" w:rsidP="00A204D5">
            <w:pPr>
              <w:pStyle w:val="BodyText"/>
            </w:pPr>
            <w:r w:rsidRPr="00A204D5">
              <w:t>Assessment must occur in workplace operational</w:t>
            </w:r>
            <w:r w:rsidRPr="00A204D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204D5" w:rsidP="00A204D5">
            <w:pPr>
              <w:pStyle w:val="BodyText"/>
            </w:pPr>
            <w:r w:rsidRPr="00A204D5">
              <w:t>Assessment processes and techniques must be appropriate to the language, l</w:t>
            </w:r>
            <w:r w:rsidRPr="00A204D5">
              <w:t>iteracy and numeracy requirements of the work being performed and the needs of the candidate.</w:t>
            </w:r>
          </w:p>
          <w:p w:rsidR="00000000" w:rsidRPr="00A204D5" w:rsidP="00A204D5">
            <w:pPr>
              <w:pStyle w:val="BodyText"/>
            </w:pPr>
            <w:r w:rsidRPr="00A204D5">
              <w:t>Resources for assessment must include access to:</w:t>
            </w:r>
          </w:p>
          <w:p w:rsidR="00000000" w:rsidRPr="00A204D5" w:rsidP="00A204D5">
            <w:pPr>
              <w:pStyle w:val="ListBullet"/>
            </w:pPr>
            <w:r w:rsidRPr="00A204D5">
              <w:t>a range of relevant exercises, case studies and/or simulations</w:t>
            </w:r>
          </w:p>
          <w:p w:rsidR="00000000" w:rsidRPr="00A204D5" w:rsidP="00A204D5">
            <w:pPr>
              <w:pStyle w:val="ListBullet"/>
            </w:pPr>
            <w:r w:rsidRPr="00A204D5">
              <w:t xml:space="preserve">applicable documentation, including legislation, </w:t>
            </w:r>
            <w:r w:rsidRPr="00A204D5">
              <w:t>regulations, codes of practice, workplace procedures and operation manuals</w:t>
            </w:r>
          </w:p>
          <w:p w:rsidR="00000000" w:rsidRPr="00A204D5" w:rsidP="00A204D5">
            <w:pPr>
              <w:pStyle w:val="ListBullet"/>
            </w:pPr>
            <w:r w:rsidRPr="00A204D5">
              <w:t>documentation specific to the dive operation, including dive plan and risk assessment</w:t>
            </w:r>
          </w:p>
          <w:p w:rsidR="00000000" w:rsidRPr="00A204D5" w:rsidP="00A204D5">
            <w:pPr>
              <w:pStyle w:val="ListBullet"/>
            </w:pPr>
            <w:r w:rsidRPr="00A204D5">
              <w:t>relevant and appropriate materials, tools, equipment and personal protective equipment (PPE) cu</w:t>
            </w:r>
            <w:r w:rsidRPr="00A204D5">
              <w:t xml:space="preserve">rrently used in industry. </w:t>
            </w:r>
          </w:p>
        </w:tc>
      </w:tr>
    </w:tbl>
    <w:p w:rsidR="00000000" w:rsidRPr="00A204D5" w:rsidP="00A204D5">
      <w:pPr>
        <w:pStyle w:val="NoPaddingFontSize1"/>
      </w:pPr>
    </w:p>
    <w:p w:rsidR="00000000" w:rsidRPr="00A204D5" w:rsidP="00A204D5">
      <w:pPr>
        <w:pStyle w:val="AllowPageBreak"/>
      </w:pPr>
    </w:p>
    <w:p w:rsidR="00000000" w:rsidRPr="00A204D5" w:rsidP="00A204D5">
      <w:pPr>
        <w:pStyle w:val="Heading1"/>
      </w:pPr>
      <w:bookmarkStart w:id="5" w:name="O_1239958"/>
      <w:bookmarkEnd w:id="5"/>
      <w:r w:rsidRPr="00A204D5">
        <w:t>Links</w:t>
      </w:r>
    </w:p>
    <w:p w:rsidR="00000000" w:rsidRPr="00A204D5" w:rsidP="0035078C">
      <w:pPr>
        <w:pStyle w:val="BodyText"/>
      </w:pPr>
      <w:r w:rsidRPr="00A204D5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77DE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204D5" w:rsidP="00A204D5"/>
    <w:sectPr w:rsidSect="00A204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5" w:rsidRPr="0035078C" w:rsidP="003507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78C" w:rsidP="00A204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078C" w:rsidP="00A204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5078C" w:rsidP="00A204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7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4D5" w:rsidRPr="0035078C" w:rsidP="003507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78C" w:rsidRPr="002D2AF8" w:rsidP="00A204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DEFWDV026 Dive using surface-supplied breathing apparatus (SSBA) in open water to 30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5078C" w:rsidP="00A204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F62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766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460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4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4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4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4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4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4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4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4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4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4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4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4D5"/>
  </w:style>
  <w:style w:type="character" w:customStyle="1" w:styleId="Heading1Char">
    <w:name w:val="Heading 1 Char"/>
    <w:basedOn w:val="DefaultParagraphFont"/>
    <w:link w:val="Heading1"/>
    <w:rsid w:val="00A204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4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4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4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04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04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4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04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4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4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4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4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4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4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4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4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4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4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4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4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4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4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4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04D5"/>
    <w:rPr>
      <w:b/>
      <w:spacing w:val="0"/>
    </w:rPr>
  </w:style>
  <w:style w:type="paragraph" w:customStyle="1" w:styleId="SuperTitle">
    <w:name w:val="SuperTitle"/>
    <w:basedOn w:val="Title"/>
    <w:rsid w:val="00A204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4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4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04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4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4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4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4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4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4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4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4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4D5"/>
    <w:rPr>
      <w:i/>
    </w:rPr>
  </w:style>
  <w:style w:type="paragraph" w:styleId="Caption">
    <w:name w:val="caption"/>
    <w:basedOn w:val="BodyText"/>
    <w:next w:val="Normal"/>
    <w:qFormat/>
    <w:rsid w:val="00A204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4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4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4D5"/>
  </w:style>
  <w:style w:type="paragraph" w:styleId="TableofFigures">
    <w:name w:val="table of figures"/>
    <w:basedOn w:val="Normal"/>
    <w:next w:val="Normal"/>
    <w:semiHidden/>
    <w:rsid w:val="00A204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4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04D5"/>
    <w:rPr>
      <w:rFonts w:ascii="Wingdings" w:hAnsi="Wingdings"/>
    </w:rPr>
  </w:style>
  <w:style w:type="paragraph" w:customStyle="1" w:styleId="TableHeading">
    <w:name w:val="Table Heading"/>
    <w:basedOn w:val="HeadingBase"/>
    <w:rsid w:val="00A204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4D5"/>
    <w:rPr>
      <w:color w:val="0033CC"/>
      <w:u w:val="none"/>
    </w:rPr>
  </w:style>
  <w:style w:type="paragraph" w:customStyle="1" w:styleId="BodyTextRight">
    <w:name w:val="Body Text Right"/>
    <w:basedOn w:val="BodyText"/>
    <w:rsid w:val="00A204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4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4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4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4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4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4D5"/>
    <w:rPr>
      <w:sz w:val="32"/>
    </w:rPr>
  </w:style>
  <w:style w:type="paragraph" w:customStyle="1" w:styleId="HeadingProcedure">
    <w:name w:val="Heading Procedure"/>
    <w:basedOn w:val="HeadingBase"/>
    <w:next w:val="Normal"/>
    <w:rsid w:val="00A204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4D5"/>
    <w:pPr>
      <w:spacing w:before="60" w:after="60"/>
    </w:pPr>
  </w:style>
  <w:style w:type="paragraph" w:styleId="ListContinue">
    <w:name w:val="List Continue"/>
    <w:basedOn w:val="List"/>
    <w:rsid w:val="00A204D5"/>
    <w:pPr>
      <w:ind w:firstLine="0"/>
    </w:pPr>
  </w:style>
  <w:style w:type="paragraph" w:customStyle="1" w:styleId="ListNote">
    <w:name w:val="List Note"/>
    <w:basedOn w:val="List"/>
    <w:rsid w:val="00A204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4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4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4D5"/>
    <w:rPr>
      <w:rFonts w:ascii="Courier New" w:hAnsi="Courier New"/>
    </w:rPr>
  </w:style>
  <w:style w:type="paragraph" w:customStyle="1" w:styleId="NoteBullet">
    <w:name w:val="Note Bullet"/>
    <w:basedOn w:val="Note"/>
    <w:rsid w:val="00A204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4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4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4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4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04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4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4D5"/>
    <w:rPr>
      <w:b/>
      <w:smallCaps/>
    </w:rPr>
  </w:style>
  <w:style w:type="paragraph" w:customStyle="1" w:styleId="TableListNumber">
    <w:name w:val="Table List Number"/>
    <w:basedOn w:val="ListNumber"/>
    <w:rsid w:val="00A204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4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4D5"/>
    <w:pPr>
      <w:numPr>
        <w:numId w:val="9"/>
      </w:numPr>
    </w:pPr>
  </w:style>
  <w:style w:type="paragraph" w:customStyle="1" w:styleId="ListAlpha2">
    <w:name w:val="List Alpha 2"/>
    <w:basedOn w:val="List2"/>
    <w:rsid w:val="00A204D5"/>
    <w:pPr>
      <w:numPr>
        <w:numId w:val="8"/>
      </w:numPr>
    </w:pPr>
  </w:style>
  <w:style w:type="paragraph" w:styleId="List2">
    <w:name w:val="List 2"/>
    <w:basedOn w:val="BodyText"/>
    <w:rsid w:val="00A204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4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4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4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4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4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04D5"/>
    <w:pPr>
      <w:numPr>
        <w:numId w:val="4"/>
      </w:numPr>
    </w:pPr>
  </w:style>
  <w:style w:type="paragraph" w:styleId="ListContinue2">
    <w:name w:val="List Continue 2"/>
    <w:basedOn w:val="List2"/>
    <w:rsid w:val="00A204D5"/>
    <w:pPr>
      <w:ind w:firstLine="0"/>
    </w:pPr>
  </w:style>
  <w:style w:type="paragraph" w:styleId="ListContinue3">
    <w:name w:val="List Continue 3"/>
    <w:basedOn w:val="List3"/>
    <w:rsid w:val="00A204D5"/>
    <w:pPr>
      <w:ind w:left="1021" w:firstLine="0"/>
    </w:pPr>
  </w:style>
  <w:style w:type="paragraph" w:styleId="ListContinue4">
    <w:name w:val="List Continue 4"/>
    <w:basedOn w:val="List4"/>
    <w:rsid w:val="00A204D5"/>
    <w:pPr>
      <w:ind w:firstLine="0"/>
    </w:pPr>
  </w:style>
  <w:style w:type="paragraph" w:styleId="ListContinue5">
    <w:name w:val="List Continue 5"/>
    <w:basedOn w:val="List5"/>
    <w:rsid w:val="00A204D5"/>
    <w:pPr>
      <w:ind w:firstLine="0"/>
    </w:pPr>
  </w:style>
  <w:style w:type="paragraph" w:styleId="ListNumber3">
    <w:name w:val="List Number 3"/>
    <w:basedOn w:val="List3"/>
    <w:rsid w:val="00A204D5"/>
    <w:pPr>
      <w:numPr>
        <w:numId w:val="5"/>
      </w:numPr>
    </w:pPr>
  </w:style>
  <w:style w:type="paragraph" w:styleId="ListNumber4">
    <w:name w:val="List Number 4"/>
    <w:basedOn w:val="List4"/>
    <w:rsid w:val="00A204D5"/>
    <w:pPr>
      <w:numPr>
        <w:numId w:val="6"/>
      </w:numPr>
    </w:pPr>
  </w:style>
  <w:style w:type="paragraph" w:styleId="ListNumber5">
    <w:name w:val="List Number 5"/>
    <w:basedOn w:val="List5"/>
    <w:rsid w:val="00A204D5"/>
    <w:pPr>
      <w:numPr>
        <w:numId w:val="7"/>
      </w:numPr>
    </w:pPr>
  </w:style>
  <w:style w:type="paragraph" w:styleId="BlockText">
    <w:name w:val="Block Text"/>
    <w:basedOn w:val="Normal"/>
    <w:rsid w:val="00A204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4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4D5"/>
    <w:rPr>
      <w:sz w:val="16"/>
      <w:vertAlign w:val="superscript"/>
    </w:rPr>
  </w:style>
  <w:style w:type="character" w:customStyle="1" w:styleId="Symbols">
    <w:name w:val="Symbols"/>
    <w:basedOn w:val="DefaultParagraphFont"/>
    <w:rsid w:val="00A204D5"/>
    <w:rPr>
      <w:rFonts w:ascii="Symbol" w:hAnsi="Symbol"/>
    </w:rPr>
  </w:style>
  <w:style w:type="character" w:customStyle="1" w:styleId="MenuOptions">
    <w:name w:val="Menu Options"/>
    <w:basedOn w:val="DefaultParagraphFont"/>
    <w:rsid w:val="00A204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4D5"/>
    <w:rPr>
      <w:b/>
    </w:rPr>
  </w:style>
  <w:style w:type="character" w:customStyle="1" w:styleId="Underlined">
    <w:name w:val="Underlined"/>
    <w:basedOn w:val="DefaultParagraphFont"/>
    <w:rsid w:val="00A204D5"/>
    <w:rPr>
      <w:u w:val="single"/>
    </w:rPr>
  </w:style>
  <w:style w:type="paragraph" w:customStyle="1" w:styleId="TableBodyTextRight">
    <w:name w:val="Table Body Text Right"/>
    <w:basedOn w:val="TableBodyText"/>
    <w:rsid w:val="00A204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4D5"/>
    <w:rPr>
      <w:sz w:val="18"/>
    </w:rPr>
  </w:style>
  <w:style w:type="paragraph" w:customStyle="1" w:styleId="BodySmallRight">
    <w:name w:val="Body Small Right"/>
    <w:basedOn w:val="BodyTextRight"/>
    <w:rsid w:val="00A204D5"/>
    <w:rPr>
      <w:sz w:val="18"/>
      <w:szCs w:val="18"/>
    </w:rPr>
  </w:style>
  <w:style w:type="paragraph" w:customStyle="1" w:styleId="MarginEdition">
    <w:name w:val="Margin Edition"/>
    <w:basedOn w:val="MarginNote"/>
    <w:rsid w:val="00A204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4D5"/>
    <w:rPr>
      <w:sz w:val="2"/>
      <w:szCs w:val="2"/>
    </w:rPr>
  </w:style>
  <w:style w:type="character" w:customStyle="1" w:styleId="Small">
    <w:name w:val="Small"/>
    <w:basedOn w:val="DefaultParagraphFont"/>
    <w:rsid w:val="00A204D5"/>
    <w:rPr>
      <w:sz w:val="16"/>
    </w:rPr>
  </w:style>
  <w:style w:type="paragraph" w:customStyle="1" w:styleId="WideTable">
    <w:name w:val="Wide Table"/>
    <w:basedOn w:val="Normal"/>
    <w:rsid w:val="00A204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4D5"/>
  </w:style>
  <w:style w:type="paragraph" w:styleId="Quote">
    <w:name w:val="Quote"/>
    <w:basedOn w:val="Heading1"/>
    <w:link w:val="QuoteChar"/>
    <w:qFormat/>
    <w:rsid w:val="00A204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4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4D5"/>
    <w:pPr>
      <w:pageBreakBefore/>
    </w:pPr>
  </w:style>
  <w:style w:type="paragraph" w:customStyle="1" w:styleId="Border">
    <w:name w:val="Border"/>
    <w:basedOn w:val="Normal"/>
    <w:qFormat/>
    <w:rsid w:val="00A204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4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4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4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4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4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4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4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4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4D5"/>
    <w:rPr>
      <w:u w:val="single"/>
    </w:rPr>
  </w:style>
  <w:style w:type="character" w:customStyle="1" w:styleId="BoldandItalics">
    <w:name w:val="Bold and Italics"/>
    <w:qFormat/>
    <w:rsid w:val="00A204D5"/>
    <w:rPr>
      <w:b/>
      <w:i/>
      <w:u w:val="none"/>
    </w:rPr>
  </w:style>
  <w:style w:type="paragraph" w:styleId="BalloonText">
    <w:name w:val="Balloon Text"/>
    <w:basedOn w:val="Normal"/>
    <w:link w:val="BalloonTextChar"/>
    <w:rsid w:val="00A204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4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4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4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4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4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4D5"/>
    <w:pPr>
      <w:spacing w:before="0" w:after="0"/>
    </w:pPr>
  </w:style>
  <w:style w:type="paragraph" w:customStyle="1" w:styleId="BodyTextBold">
    <w:name w:val="Body Text Bold"/>
    <w:basedOn w:val="BodyText"/>
    <w:qFormat/>
    <w:rsid w:val="00A204D5"/>
    <w:rPr>
      <w:b/>
    </w:rPr>
  </w:style>
  <w:style w:type="character" w:styleId="Hyperlink">
    <w:name w:val="Hyperlink"/>
    <w:basedOn w:val="DefaultParagraphFont"/>
    <w:uiPriority w:val="99"/>
    <w:unhideWhenUsed/>
    <w:rsid w:val="003507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509</Words>
  <Characters>3517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DEFWDV026 Dive using surface-supplied breathing apparatus (SSBA) in open water to 30 metres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