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7278" w:rsidP="00D672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DEFWDV017 Employ thermal cutting and welding tools (non-load bearing) in an underwater environment</w:t>
      </w:r>
      <w:r>
        <w:fldChar w:fldCharType="end"/>
      </w:r>
    </w:p>
    <w:p w:rsidR="00D67278" w:rsidP="00D67278">
      <w:pPr>
        <w:pStyle w:val="Version"/>
        <w:sectPr w:rsidSect="00C74B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4BDA" w:rsidP="00C74BDA">
      <w:pPr>
        <w:pStyle w:val="SuperHeading"/>
      </w:pPr>
      <w:r w:rsidRPr="00C74BDA">
        <w:t>Assessment Requirements for DEFWDV017 Employ thermal cutting and welding tools (non-load bearing) in an underwater environment</w:t>
      </w:r>
    </w:p>
    <w:p w:rsidR="00000000" w:rsidRPr="00C74BDA" w:rsidP="00C74BDA">
      <w:pPr>
        <w:pStyle w:val="Heading1"/>
      </w:pPr>
      <w:bookmarkStart w:id="1" w:name="O_959228"/>
      <w:bookmarkEnd w:id="1"/>
      <w:r w:rsidRPr="00C74BD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4B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BDA" w:rsidP="00C74BDA">
            <w:pPr>
              <w:pStyle w:val="BodyText"/>
            </w:pPr>
            <w:r w:rsidRPr="00C74BDA">
              <w:t>Release 1. This is the first release of this unit of competency in the DEF Defence Training Package.</w:t>
            </w:r>
          </w:p>
        </w:tc>
      </w:tr>
    </w:tbl>
    <w:p w:rsidR="00000000" w:rsidRPr="00C74BDA" w:rsidP="00C74BDA">
      <w:pPr>
        <w:pStyle w:val="NoPaddingFontSize1"/>
      </w:pPr>
    </w:p>
    <w:p w:rsidR="00000000" w:rsidRPr="00C74BDA" w:rsidP="00C74BDA">
      <w:pPr>
        <w:pStyle w:val="AllowPageBreak"/>
      </w:pPr>
    </w:p>
    <w:p w:rsidR="00000000" w:rsidRPr="00C74BDA" w:rsidP="00C74BDA">
      <w:pPr>
        <w:pStyle w:val="Heading1"/>
      </w:pPr>
      <w:bookmarkStart w:id="2" w:name="O_959229"/>
      <w:bookmarkEnd w:id="2"/>
      <w:r w:rsidRPr="00C74BD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4B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BDA" w:rsidP="00C74BDA">
            <w:pPr>
              <w:pStyle w:val="BodyText"/>
            </w:pPr>
            <w:r w:rsidRPr="00C74BDA">
              <w:t>Evidence required to demonstrate competence in this unit must be relevant to and satisfy all of the requirements of</w:t>
            </w:r>
            <w:r w:rsidRPr="00C74BDA">
              <w:t xml:space="preserve"> the elements and performance criteria on at least two separate occasions and include:</w:t>
            </w:r>
          </w:p>
          <w:p w:rsidR="00000000" w:rsidRPr="00C74BDA" w:rsidP="00C74BDA">
            <w:pPr>
              <w:pStyle w:val="ListBullet"/>
            </w:pPr>
            <w:r w:rsidRPr="00C74BDA">
              <w:t>applying relevant legislation, standards, and organisational policies and procedures</w:t>
            </w:r>
          </w:p>
          <w:p w:rsidR="00000000" w:rsidRPr="00C74BDA" w:rsidP="00C74BDA">
            <w:pPr>
              <w:pStyle w:val="ListBullet"/>
            </w:pPr>
            <w:r w:rsidRPr="00C74BDA">
              <w:t>completing underwater cutting and welding operations safely</w:t>
            </w:r>
          </w:p>
          <w:p w:rsidR="00000000" w:rsidRPr="00C74BDA" w:rsidP="00C74BDA">
            <w:pPr>
              <w:pStyle w:val="ListBullet"/>
            </w:pPr>
            <w:r w:rsidRPr="00C74BDA">
              <w:t>cutting 12 mm steel pla</w:t>
            </w:r>
            <w:r w:rsidRPr="00C74BDA">
              <w:t>tes</w:t>
            </w:r>
          </w:p>
          <w:p w:rsidR="00000000" w:rsidRPr="00C74BDA" w:rsidP="00C74BDA">
            <w:pPr>
              <w:pStyle w:val="ListBullet"/>
            </w:pPr>
            <w:r w:rsidRPr="00C74BDA">
              <w:t>identifying and addressing relevant cutting/welding workplace hazards and problems</w:t>
            </w:r>
          </w:p>
          <w:p w:rsidR="00000000" w:rsidRPr="00C74BDA" w:rsidP="00C74BDA">
            <w:pPr>
              <w:pStyle w:val="ListBullet"/>
            </w:pPr>
            <w:r w:rsidRPr="00C74BDA">
              <w:t>operating generator to support welding tasks in an underwater environment</w:t>
            </w:r>
          </w:p>
          <w:p w:rsidR="00000000" w:rsidRPr="00C74BDA" w:rsidP="00C74BDA">
            <w:pPr>
              <w:pStyle w:val="ListBullet"/>
            </w:pPr>
            <w:r w:rsidRPr="00C74BDA">
              <w:t>operating thermal cutting and welding tools underwater</w:t>
            </w:r>
          </w:p>
          <w:p w:rsidR="00000000" w:rsidRPr="00C74BDA" w:rsidP="00C74BDA">
            <w:pPr>
              <w:pStyle w:val="ListBullet"/>
            </w:pPr>
            <w:r w:rsidRPr="00C74BDA">
              <w:t>planning for cutting and welding underwa</w:t>
            </w:r>
            <w:r w:rsidRPr="00C74BDA">
              <w:t>ter</w:t>
            </w:r>
          </w:p>
          <w:p w:rsidR="00000000" w:rsidRPr="00C74BDA" w:rsidP="00C74BDA">
            <w:pPr>
              <w:pStyle w:val="ListBullet"/>
            </w:pPr>
            <w:r w:rsidRPr="00C74BDA">
              <w:t>stabilising a generator</w:t>
            </w:r>
          </w:p>
          <w:p w:rsidR="00000000" w:rsidRPr="00C74BDA" w:rsidP="00C74BDA">
            <w:pPr>
              <w:pStyle w:val="ListBullet"/>
            </w:pPr>
            <w:r w:rsidRPr="00C74BDA">
              <w:t>undertaking underwater welding activities including:</w:t>
            </w:r>
          </w:p>
          <w:p w:rsidR="00000000" w:rsidRPr="00C74BDA" w:rsidP="00C74BDA">
            <w:pPr>
              <w:pStyle w:val="ListBullet2"/>
            </w:pPr>
            <w:r w:rsidRPr="00C74BDA">
              <w:t>preparing surface of work object for cut or weld</w:t>
            </w:r>
          </w:p>
          <w:p w:rsidR="00000000" w:rsidRPr="00C74BDA" w:rsidP="00C74BDA">
            <w:pPr>
              <w:pStyle w:val="ListBullet2"/>
            </w:pPr>
            <w:r w:rsidRPr="00C74BDA">
              <w:t>controlling voltage and amperage of arc welding equipment</w:t>
            </w:r>
          </w:p>
          <w:p w:rsidR="00000000" w:rsidRPr="00C74BDA" w:rsidP="00C74BDA">
            <w:pPr>
              <w:pStyle w:val="ListBullet2"/>
            </w:pPr>
            <w:r w:rsidRPr="00C74BDA">
              <w:t>turning on gas supplies</w:t>
            </w:r>
          </w:p>
          <w:p w:rsidR="00000000" w:rsidRPr="00C74BDA" w:rsidP="00C74BDA">
            <w:pPr>
              <w:pStyle w:val="ListBullet2"/>
            </w:pPr>
            <w:r w:rsidRPr="00C74BDA">
              <w:t>adjusting ratios of oxygen and acetylene</w:t>
            </w:r>
          </w:p>
          <w:p w:rsidR="00000000" w:rsidRPr="00C74BDA" w:rsidP="00C74BDA">
            <w:pPr>
              <w:pStyle w:val="ListBullet2"/>
            </w:pPr>
            <w:r w:rsidRPr="00C74BDA">
              <w:t>controlling pressure of oxy acetylene torch</w:t>
            </w:r>
          </w:p>
          <w:p w:rsidR="00000000" w:rsidRPr="00C74BDA" w:rsidP="00C74BDA">
            <w:pPr>
              <w:pStyle w:val="ListBullet2"/>
            </w:pPr>
            <w:r w:rsidRPr="00C74BDA">
              <w:t>making cuts and welds ensuring minimal distortion to object</w:t>
            </w:r>
          </w:p>
          <w:p w:rsidR="00000000" w:rsidRPr="00C74BDA" w:rsidP="00C74BDA">
            <w:pPr>
              <w:pStyle w:val="ListBullet2"/>
            </w:pPr>
            <w:r w:rsidRPr="00C74BDA">
              <w:t>inspecting and cleaning cuts and welds</w:t>
            </w:r>
          </w:p>
          <w:p w:rsidR="00000000" w:rsidRPr="00C74BDA" w:rsidP="00C74BDA">
            <w:pPr>
              <w:pStyle w:val="ListBullet2"/>
            </w:pPr>
            <w:r w:rsidRPr="00C74BDA">
              <w:t>developing power gradually without surging</w:t>
            </w:r>
          </w:p>
          <w:p w:rsidR="00000000" w:rsidRPr="00C74BDA" w:rsidP="00C74BDA">
            <w:pPr>
              <w:pStyle w:val="ListBullet"/>
            </w:pPr>
            <w:r w:rsidRPr="00C74BDA">
              <w:t>using a number of thermal cutting and welding tools (non-load bearing</w:t>
            </w:r>
            <w:r w:rsidRPr="00C74BDA">
              <w:t>) in an underwater environment work tasks:</w:t>
            </w:r>
          </w:p>
          <w:p w:rsidR="00000000" w:rsidRPr="00C74BDA" w:rsidP="00C74BDA">
            <w:pPr>
              <w:pStyle w:val="ListBullet2"/>
            </w:pPr>
            <w:r w:rsidRPr="00C74BDA">
              <w:t>at depths between 5 metres and 20 metres</w:t>
            </w:r>
          </w:p>
          <w:p w:rsidR="00000000" w:rsidRPr="00C74BDA" w:rsidP="00C74BDA">
            <w:pPr>
              <w:pStyle w:val="ListBullet2"/>
            </w:pPr>
            <w:r w:rsidRPr="00C74BDA">
              <w:t>on at least one night work task</w:t>
            </w:r>
          </w:p>
          <w:p w:rsidR="00000000" w:rsidRPr="00C74BDA" w:rsidP="00C74BDA">
            <w:pPr>
              <w:pStyle w:val="ListBullet"/>
            </w:pPr>
            <w:r w:rsidRPr="00C74BDA">
              <w:t>welding manual metal arc using electric welding equipment.</w:t>
            </w:r>
          </w:p>
        </w:tc>
      </w:tr>
    </w:tbl>
    <w:p w:rsidR="00000000" w:rsidRPr="00C74BDA" w:rsidP="00C74BDA">
      <w:pPr>
        <w:pStyle w:val="NoPaddingFontSize1"/>
      </w:pPr>
    </w:p>
    <w:p w:rsidR="00000000" w:rsidRPr="00C74BDA" w:rsidP="00C74BDA">
      <w:pPr>
        <w:pStyle w:val="AllowPageBreak"/>
      </w:pPr>
    </w:p>
    <w:p w:rsidR="00000000" w:rsidRPr="00C74BDA" w:rsidP="00C74BDA">
      <w:pPr>
        <w:pStyle w:val="Heading1"/>
      </w:pPr>
      <w:bookmarkStart w:id="3" w:name="O_959230"/>
      <w:bookmarkEnd w:id="3"/>
      <w:r w:rsidRPr="00C74BD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4B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BDA" w:rsidP="00C74BDA">
            <w:pPr>
              <w:pStyle w:val="BodyText"/>
            </w:pPr>
            <w:r w:rsidRPr="00C74BDA">
              <w:t xml:space="preserve">Evidence required to demonstrate competence in this unit must be relevant to and satisfy all of </w:t>
            </w:r>
            <w:r w:rsidRPr="00C74BDA">
              <w:t>the requirements of the elements and performance criteria and include knowledge of:</w:t>
            </w:r>
          </w:p>
          <w:p w:rsidR="00000000" w:rsidRPr="00C74BDA" w:rsidP="00C74BDA">
            <w:pPr>
              <w:pStyle w:val="ListBullet"/>
            </w:pPr>
            <w:r w:rsidRPr="00C74BDA">
              <w:t>dive equipment</w:t>
            </w:r>
          </w:p>
          <w:p w:rsidR="00000000" w:rsidRPr="00C74BDA" w:rsidP="00C74BDA">
            <w:pPr>
              <w:pStyle w:val="ListBullet"/>
            </w:pPr>
            <w:r w:rsidRPr="00C74BDA">
              <w:t>dive physics</w:t>
            </w:r>
          </w:p>
          <w:p w:rsidR="00000000" w:rsidRPr="00C74BDA" w:rsidP="00C74BDA">
            <w:pPr>
              <w:pStyle w:val="ListBullet"/>
            </w:pPr>
            <w:r w:rsidRPr="00C74BDA">
              <w:t>dive physiology and medicine including:</w:t>
            </w:r>
          </w:p>
          <w:p w:rsidR="00000000" w:rsidRPr="00C74BDA" w:rsidP="00C74BDA">
            <w:pPr>
              <w:pStyle w:val="ListBullet2"/>
            </w:pPr>
            <w:r w:rsidRPr="00C74BDA">
              <w:t>heat a</w:t>
            </w:r>
            <w:r w:rsidRPr="00C74BDA">
              <w:t>nd cold illnesses</w:t>
            </w:r>
          </w:p>
          <w:p w:rsidR="00000000" w:rsidRPr="00C74BDA" w:rsidP="00C74BDA">
            <w:pPr>
              <w:pStyle w:val="ListBullet2"/>
            </w:pPr>
            <w:r w:rsidRPr="00C74BDA">
              <w:t>compression illnesses</w:t>
            </w:r>
          </w:p>
          <w:p w:rsidR="00000000" w:rsidRPr="00C74BDA" w:rsidP="00C74BDA">
            <w:pPr>
              <w:pStyle w:val="ListBullet2"/>
            </w:pPr>
            <w:r w:rsidRPr="00C74BDA">
              <w:t>decompression illnesses</w:t>
            </w:r>
          </w:p>
          <w:p w:rsidR="00000000" w:rsidRPr="00C74BDA" w:rsidP="00C74BDA">
            <w:pPr>
              <w:pStyle w:val="ListBullet"/>
            </w:pPr>
            <w:r w:rsidRPr="00C74BDA">
              <w:t>diving descent and ascent techniques</w:t>
            </w:r>
          </w:p>
          <w:p w:rsidR="00000000" w:rsidRPr="00C74BDA" w:rsidP="00C74BDA">
            <w:pPr>
              <w:pStyle w:val="ListBullet"/>
            </w:pPr>
            <w:r w:rsidRPr="00C74BDA">
              <w:t>general diving safety awareness including:</w:t>
            </w:r>
          </w:p>
          <w:p w:rsidR="00000000" w:rsidRPr="00C74BDA" w:rsidP="00C74BDA">
            <w:pPr>
              <w:pStyle w:val="ListBullet2"/>
            </w:pPr>
            <w:r w:rsidRPr="00C74BDA">
              <w:t>diving in harbours</w:t>
            </w:r>
          </w:p>
          <w:p w:rsidR="00000000" w:rsidRPr="00C74BDA" w:rsidP="00C74BDA">
            <w:pPr>
              <w:pStyle w:val="ListBullet2"/>
            </w:pPr>
            <w:r w:rsidRPr="00C74BDA">
              <w:t>diving in tidal waters, currents and tides</w:t>
            </w:r>
          </w:p>
          <w:p w:rsidR="00000000" w:rsidRPr="00C74BDA" w:rsidP="00C74BDA">
            <w:pPr>
              <w:pStyle w:val="ListBullet2"/>
            </w:pPr>
            <w:r w:rsidRPr="00C74BDA">
              <w:t>diving on and/or near a ship’s bottom</w:t>
            </w:r>
          </w:p>
          <w:p w:rsidR="00000000" w:rsidRPr="00C74BDA" w:rsidP="00C74BDA">
            <w:pPr>
              <w:pStyle w:val="ListBullet2"/>
            </w:pPr>
            <w:r w:rsidRPr="00C74BDA">
              <w:t>lost/separated</w:t>
            </w:r>
          </w:p>
          <w:p w:rsidR="00000000" w:rsidRPr="00C74BDA" w:rsidP="00C74BDA">
            <w:pPr>
              <w:pStyle w:val="ListBullet2"/>
            </w:pPr>
            <w:r w:rsidRPr="00C74BDA">
              <w:t>entrapment/foul lines</w:t>
            </w:r>
          </w:p>
          <w:p w:rsidR="00000000" w:rsidRPr="00C74BDA" w:rsidP="00C74BDA">
            <w:pPr>
              <w:pStyle w:val="ListBullet2"/>
            </w:pPr>
            <w:r w:rsidRPr="00C74BDA">
              <w:t>marine animal threats</w:t>
            </w:r>
          </w:p>
          <w:p w:rsidR="00000000" w:rsidRPr="00C74BDA" w:rsidP="00C74BDA">
            <w:pPr>
              <w:pStyle w:val="ListBullet2"/>
            </w:pPr>
            <w:r w:rsidRPr="00C74BDA">
              <w:t>pollution/weeds</w:t>
            </w:r>
          </w:p>
          <w:p w:rsidR="00000000" w:rsidRPr="00C74BDA" w:rsidP="00C74BDA">
            <w:pPr>
              <w:pStyle w:val="ListBullet2"/>
            </w:pPr>
            <w:r w:rsidRPr="00C74BDA">
              <w:t>working in confined spaces</w:t>
            </w:r>
          </w:p>
          <w:p w:rsidR="00000000" w:rsidRPr="00C74BDA" w:rsidP="00C74BDA">
            <w:pPr>
              <w:pStyle w:val="ListBullet"/>
            </w:pPr>
            <w:r w:rsidRPr="00C74BDA">
              <w:t>oceanography</w:t>
            </w:r>
          </w:p>
          <w:p w:rsidR="00000000" w:rsidRPr="00C74BDA" w:rsidP="00C74BDA">
            <w:pPr>
              <w:pStyle w:val="ListBullet"/>
            </w:pPr>
            <w:r w:rsidRPr="00C74BDA">
              <w:t>relevant cutting/welding workplace hazards and problems</w:t>
            </w:r>
          </w:p>
          <w:p w:rsidR="00000000" w:rsidRPr="00C74BDA" w:rsidP="00C74BDA">
            <w:pPr>
              <w:pStyle w:val="ListBullet"/>
            </w:pPr>
            <w:r w:rsidRPr="00C74BDA">
              <w:t>relevant legislation, standards, and organisational policies and procedures</w:t>
            </w:r>
          </w:p>
          <w:p w:rsidR="00000000" w:rsidRPr="00C74BDA" w:rsidP="00C74BDA">
            <w:pPr>
              <w:pStyle w:val="ListBullet"/>
            </w:pPr>
            <w:r w:rsidRPr="00C74BDA">
              <w:t>thermal cutting and welding principles and techniques.</w:t>
            </w:r>
          </w:p>
        </w:tc>
      </w:tr>
    </w:tbl>
    <w:p w:rsidR="00000000" w:rsidRPr="00C74BDA" w:rsidP="00C74BDA">
      <w:pPr>
        <w:pStyle w:val="NoPaddingFontSize1"/>
      </w:pPr>
    </w:p>
    <w:p w:rsidR="00000000" w:rsidRPr="00C74BDA" w:rsidP="00C74BDA">
      <w:pPr>
        <w:pStyle w:val="AllowPageBreak"/>
      </w:pPr>
    </w:p>
    <w:p w:rsidR="00000000" w:rsidRPr="00C74BDA" w:rsidP="00C74BDA">
      <w:pPr>
        <w:pStyle w:val="Heading1"/>
      </w:pPr>
      <w:bookmarkStart w:id="4" w:name="O_959231"/>
      <w:bookmarkEnd w:id="4"/>
      <w:r w:rsidRPr="00C74BD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4B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BDA" w:rsidP="00C74BDA">
            <w:pPr>
              <w:pStyle w:val="BodyText"/>
            </w:pPr>
            <w:r w:rsidRPr="00C74BDA">
              <w:t>As a minimum, assessors must satisfy applicable regulatory requirements, which include requirements in the Standards for Registered Training Organisations curre</w:t>
            </w:r>
            <w:r w:rsidRPr="00C74BDA">
              <w:t>nt at the time of assessment.</w:t>
            </w:r>
          </w:p>
          <w:p w:rsidR="00000000" w:rsidRPr="00C74BDA" w:rsidP="00C74BDA">
            <w:pPr>
              <w:pStyle w:val="BodyText"/>
            </w:pPr>
            <w:r w:rsidRPr="00C74BDA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C74BDA" w:rsidP="00C74BDA">
            <w:pPr>
              <w:pStyle w:val="BodyText"/>
            </w:pPr>
            <w:r w:rsidRPr="00C74BDA">
              <w:t xml:space="preserve">Assessment must occur in workplace </w:t>
            </w:r>
            <w:r w:rsidRPr="00C74BDA">
              <w:t>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C74BDA" w:rsidP="00C74BDA">
            <w:pPr>
              <w:pStyle w:val="BodyText"/>
            </w:pPr>
            <w:r w:rsidRPr="00C74BDA">
              <w:t xml:space="preserve">Assessment processes and techniques must be appropriate to the </w:t>
            </w:r>
            <w:r w:rsidRPr="00C74BDA">
              <w:t>language, literacy and numeracy requirements of the work being performed and the needs of the candidate.</w:t>
            </w:r>
          </w:p>
          <w:p w:rsidR="00000000" w:rsidRPr="00C74BDA" w:rsidP="00C74BDA">
            <w:pPr>
              <w:pStyle w:val="BodyText"/>
            </w:pPr>
            <w:r w:rsidRPr="00C74BDA">
              <w:t>Resources for assessment must include access to:</w:t>
            </w:r>
          </w:p>
          <w:p w:rsidR="00000000" w:rsidRPr="00C74BDA" w:rsidP="00C74BDA">
            <w:pPr>
              <w:pStyle w:val="ListBullet"/>
            </w:pPr>
            <w:r w:rsidRPr="00C74BDA">
              <w:t>a range of relevant exercises, case studies and/or other simulations</w:t>
            </w:r>
          </w:p>
          <w:p w:rsidR="00000000" w:rsidRPr="00C74BDA" w:rsidP="00C74BDA">
            <w:pPr>
              <w:pStyle w:val="ListBullet"/>
            </w:pPr>
            <w:r w:rsidRPr="00C74BDA">
              <w:t>relevant and appropriate materia</w:t>
            </w:r>
            <w:r w:rsidRPr="00C74BDA">
              <w:t>ls, tools, equipment and personal protective equipment currently used in industry</w:t>
            </w:r>
          </w:p>
          <w:p w:rsidR="00000000" w:rsidRPr="00C74BDA" w:rsidP="00C74BDA">
            <w:pPr>
              <w:pStyle w:val="ListBullet"/>
            </w:pPr>
            <w:r w:rsidRPr="00C74BDA">
              <w:t>ocean with a range of oceanic, diurnal and nocturnal environments</w:t>
            </w:r>
          </w:p>
          <w:p w:rsidR="00000000" w:rsidRPr="00C74BDA" w:rsidP="00C74BDA">
            <w:pPr>
              <w:pStyle w:val="ListBullet"/>
            </w:pPr>
            <w:r w:rsidRPr="00C74BDA">
              <w:t xml:space="preserve">applicable documentation including organisational procedures, regulations, codes of practice </w:t>
            </w:r>
            <w:r w:rsidRPr="00C74BDA">
              <w:t>and operation m</w:t>
            </w:r>
            <w:r w:rsidRPr="00C74BDA">
              <w:t>anuals.</w:t>
            </w:r>
          </w:p>
          <w:p w:rsidR="00000000" w:rsidRPr="00C74BDA" w:rsidP="00C74BDA">
            <w:pPr>
              <w:pStyle w:val="BodyText"/>
            </w:pPr>
            <w:r w:rsidRPr="00C74BDA">
              <w:t>When practicable, assessment should relate to the diver’s vocational focus.</w:t>
            </w:r>
          </w:p>
        </w:tc>
      </w:tr>
    </w:tbl>
    <w:p w:rsidR="00000000" w:rsidRPr="00C74BDA" w:rsidP="00C74BDA">
      <w:pPr>
        <w:pStyle w:val="NoPaddingFontSize1"/>
      </w:pPr>
    </w:p>
    <w:p w:rsidR="00000000" w:rsidRPr="00C74BDA" w:rsidP="00C74BDA">
      <w:pPr>
        <w:pStyle w:val="AllowPageBreak"/>
      </w:pPr>
    </w:p>
    <w:p w:rsidR="00000000" w:rsidRPr="00C74BDA" w:rsidP="00C74BDA">
      <w:pPr>
        <w:pStyle w:val="Heading1"/>
      </w:pPr>
      <w:bookmarkStart w:id="5" w:name="O_959234"/>
      <w:bookmarkEnd w:id="5"/>
      <w:r w:rsidRPr="00C74BDA">
        <w:t>Links</w:t>
      </w:r>
    </w:p>
    <w:p w:rsidR="00000000" w:rsidRPr="00C74BDA" w:rsidP="00D67278">
      <w:pPr>
        <w:pStyle w:val="BodyText"/>
      </w:pPr>
      <w:r w:rsidRPr="00C74BDA">
        <w:t xml:space="preserve">Companion Volume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39254A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C74BDA" w:rsidP="00C74BDA"/>
    <w:sectPr w:rsidSect="00C74BD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B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BDA" w:rsidRPr="00D67278" w:rsidP="00D672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B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278" w:rsidP="00C74B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67278" w:rsidP="00C74B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67278" w:rsidP="00C74B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B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2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4BDA" w:rsidRPr="00D67278" w:rsidP="00D672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B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278" w:rsidRPr="002D2AF8" w:rsidP="00C74B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DEFWDV017 Employ thermal cutting and welding tools (non-load bearing) in an underwater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D67278" w:rsidP="00C74B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FB2DA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31617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92CED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4B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4B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4B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4B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4B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4B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4B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4B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4B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4B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4B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4BDA"/>
  </w:style>
  <w:style w:type="character" w:customStyle="1" w:styleId="Heading1Char">
    <w:name w:val="Heading 1 Char"/>
    <w:basedOn w:val="DefaultParagraphFont"/>
    <w:link w:val="Heading1"/>
    <w:rsid w:val="00C74B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4B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4B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74BD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74BD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74B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4B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74B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4B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4B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4B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4B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4B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4B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4B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4B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4B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4B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4B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4B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4B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4B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4B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4B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4B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4B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74B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74BDA"/>
    <w:rPr>
      <w:b/>
      <w:spacing w:val="0"/>
    </w:rPr>
  </w:style>
  <w:style w:type="paragraph" w:customStyle="1" w:styleId="SuperTitle">
    <w:name w:val="SuperTitle"/>
    <w:basedOn w:val="Title"/>
    <w:rsid w:val="00C74B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4B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4B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74B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4B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4B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4B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4B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4B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4B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4B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4BD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74BDA"/>
    <w:rPr>
      <w:i/>
    </w:rPr>
  </w:style>
  <w:style w:type="paragraph" w:styleId="Caption">
    <w:name w:val="caption"/>
    <w:basedOn w:val="BodyText"/>
    <w:next w:val="Normal"/>
    <w:qFormat/>
    <w:rsid w:val="00C74B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4B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4B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4BDA"/>
  </w:style>
  <w:style w:type="paragraph" w:styleId="TableofFigures">
    <w:name w:val="table of figures"/>
    <w:basedOn w:val="Normal"/>
    <w:next w:val="Normal"/>
    <w:semiHidden/>
    <w:rsid w:val="00C74B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4BD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74BDA"/>
    <w:rPr>
      <w:rFonts w:ascii="Wingdings" w:hAnsi="Wingdings"/>
    </w:rPr>
  </w:style>
  <w:style w:type="paragraph" w:customStyle="1" w:styleId="TableHeading">
    <w:name w:val="Table Heading"/>
    <w:basedOn w:val="HeadingBase"/>
    <w:rsid w:val="00C74B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4BDA"/>
    <w:rPr>
      <w:color w:val="0033CC"/>
      <w:u w:val="none"/>
    </w:rPr>
  </w:style>
  <w:style w:type="paragraph" w:customStyle="1" w:styleId="BodyTextRight">
    <w:name w:val="Body Text Right"/>
    <w:basedOn w:val="BodyText"/>
    <w:rsid w:val="00C74B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4B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4BD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4B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4B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4B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4BDA"/>
    <w:rPr>
      <w:sz w:val="32"/>
    </w:rPr>
  </w:style>
  <w:style w:type="paragraph" w:customStyle="1" w:styleId="HeadingProcedure">
    <w:name w:val="Heading Procedure"/>
    <w:basedOn w:val="HeadingBase"/>
    <w:next w:val="Normal"/>
    <w:rsid w:val="00C74B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4BDA"/>
    <w:pPr>
      <w:spacing w:before="60" w:after="60"/>
    </w:pPr>
  </w:style>
  <w:style w:type="paragraph" w:styleId="ListContinue">
    <w:name w:val="List Continue"/>
    <w:basedOn w:val="List"/>
    <w:rsid w:val="00C74BDA"/>
    <w:pPr>
      <w:ind w:firstLine="0"/>
    </w:pPr>
  </w:style>
  <w:style w:type="paragraph" w:customStyle="1" w:styleId="ListNote">
    <w:name w:val="List Note"/>
    <w:basedOn w:val="List"/>
    <w:rsid w:val="00C74B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4B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4B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4BDA"/>
    <w:rPr>
      <w:rFonts w:ascii="Courier New" w:hAnsi="Courier New"/>
    </w:rPr>
  </w:style>
  <w:style w:type="paragraph" w:customStyle="1" w:styleId="NoteBullet">
    <w:name w:val="Note Bullet"/>
    <w:basedOn w:val="Note"/>
    <w:rsid w:val="00C74B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4B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4B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4B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4BD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74B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4B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4BDA"/>
    <w:rPr>
      <w:b/>
      <w:smallCaps/>
    </w:rPr>
  </w:style>
  <w:style w:type="paragraph" w:customStyle="1" w:styleId="TableListNumber">
    <w:name w:val="Table List Number"/>
    <w:basedOn w:val="ListNumber"/>
    <w:rsid w:val="00C74B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4B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4BDA"/>
    <w:pPr>
      <w:numPr>
        <w:numId w:val="9"/>
      </w:numPr>
    </w:pPr>
  </w:style>
  <w:style w:type="paragraph" w:customStyle="1" w:styleId="ListAlpha2">
    <w:name w:val="List Alpha 2"/>
    <w:basedOn w:val="List2"/>
    <w:rsid w:val="00C74BDA"/>
    <w:pPr>
      <w:numPr>
        <w:numId w:val="8"/>
      </w:numPr>
    </w:pPr>
  </w:style>
  <w:style w:type="paragraph" w:styleId="List2">
    <w:name w:val="List 2"/>
    <w:basedOn w:val="BodyText"/>
    <w:rsid w:val="00C74B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4B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4B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4B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4BD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4BD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74BDA"/>
    <w:pPr>
      <w:numPr>
        <w:numId w:val="4"/>
      </w:numPr>
    </w:pPr>
  </w:style>
  <w:style w:type="paragraph" w:styleId="ListContinue2">
    <w:name w:val="List Continue 2"/>
    <w:basedOn w:val="List2"/>
    <w:rsid w:val="00C74BDA"/>
    <w:pPr>
      <w:ind w:firstLine="0"/>
    </w:pPr>
  </w:style>
  <w:style w:type="paragraph" w:styleId="ListContinue3">
    <w:name w:val="List Continue 3"/>
    <w:basedOn w:val="List3"/>
    <w:rsid w:val="00C74BDA"/>
    <w:pPr>
      <w:ind w:left="1021" w:firstLine="0"/>
    </w:pPr>
  </w:style>
  <w:style w:type="paragraph" w:styleId="ListContinue4">
    <w:name w:val="List Continue 4"/>
    <w:basedOn w:val="List4"/>
    <w:rsid w:val="00C74BDA"/>
    <w:pPr>
      <w:ind w:firstLine="0"/>
    </w:pPr>
  </w:style>
  <w:style w:type="paragraph" w:styleId="ListContinue5">
    <w:name w:val="List Continue 5"/>
    <w:basedOn w:val="List5"/>
    <w:rsid w:val="00C74BDA"/>
    <w:pPr>
      <w:ind w:firstLine="0"/>
    </w:pPr>
  </w:style>
  <w:style w:type="paragraph" w:styleId="ListNumber3">
    <w:name w:val="List Number 3"/>
    <w:basedOn w:val="List3"/>
    <w:rsid w:val="00C74BDA"/>
    <w:pPr>
      <w:numPr>
        <w:numId w:val="5"/>
      </w:numPr>
    </w:pPr>
  </w:style>
  <w:style w:type="paragraph" w:styleId="ListNumber4">
    <w:name w:val="List Number 4"/>
    <w:basedOn w:val="List4"/>
    <w:rsid w:val="00C74BDA"/>
    <w:pPr>
      <w:numPr>
        <w:numId w:val="6"/>
      </w:numPr>
    </w:pPr>
  </w:style>
  <w:style w:type="paragraph" w:styleId="ListNumber5">
    <w:name w:val="List Number 5"/>
    <w:basedOn w:val="List5"/>
    <w:rsid w:val="00C74BDA"/>
    <w:pPr>
      <w:numPr>
        <w:numId w:val="7"/>
      </w:numPr>
    </w:pPr>
  </w:style>
  <w:style w:type="paragraph" w:styleId="BlockText">
    <w:name w:val="Block Text"/>
    <w:basedOn w:val="Normal"/>
    <w:rsid w:val="00C74B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4B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4BDA"/>
    <w:rPr>
      <w:sz w:val="16"/>
      <w:vertAlign w:val="superscript"/>
    </w:rPr>
  </w:style>
  <w:style w:type="character" w:customStyle="1" w:styleId="Symbols">
    <w:name w:val="Symbols"/>
    <w:basedOn w:val="DefaultParagraphFont"/>
    <w:rsid w:val="00C74BDA"/>
    <w:rPr>
      <w:rFonts w:ascii="Symbol" w:hAnsi="Symbol"/>
    </w:rPr>
  </w:style>
  <w:style w:type="character" w:customStyle="1" w:styleId="MenuOptions">
    <w:name w:val="Menu Options"/>
    <w:basedOn w:val="DefaultParagraphFont"/>
    <w:rsid w:val="00C74B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4BDA"/>
    <w:rPr>
      <w:b/>
    </w:rPr>
  </w:style>
  <w:style w:type="character" w:customStyle="1" w:styleId="Underlined">
    <w:name w:val="Underlined"/>
    <w:basedOn w:val="DefaultParagraphFont"/>
    <w:rsid w:val="00C74BDA"/>
    <w:rPr>
      <w:u w:val="single"/>
    </w:rPr>
  </w:style>
  <w:style w:type="paragraph" w:customStyle="1" w:styleId="TableBodyTextRight">
    <w:name w:val="Table Body Text Right"/>
    <w:basedOn w:val="TableBodyText"/>
    <w:rsid w:val="00C74B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4BDA"/>
    <w:rPr>
      <w:sz w:val="18"/>
    </w:rPr>
  </w:style>
  <w:style w:type="paragraph" w:customStyle="1" w:styleId="BodySmallRight">
    <w:name w:val="Body Small Right"/>
    <w:basedOn w:val="BodyTextRight"/>
    <w:rsid w:val="00C74BDA"/>
    <w:rPr>
      <w:sz w:val="18"/>
      <w:szCs w:val="18"/>
    </w:rPr>
  </w:style>
  <w:style w:type="paragraph" w:customStyle="1" w:styleId="MarginEdition">
    <w:name w:val="Margin Edition"/>
    <w:basedOn w:val="MarginNote"/>
    <w:rsid w:val="00C74B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4BDA"/>
    <w:rPr>
      <w:sz w:val="2"/>
      <w:szCs w:val="2"/>
    </w:rPr>
  </w:style>
  <w:style w:type="character" w:customStyle="1" w:styleId="Small">
    <w:name w:val="Small"/>
    <w:basedOn w:val="DefaultParagraphFont"/>
    <w:rsid w:val="00C74BDA"/>
    <w:rPr>
      <w:sz w:val="16"/>
    </w:rPr>
  </w:style>
  <w:style w:type="paragraph" w:customStyle="1" w:styleId="WideTable">
    <w:name w:val="Wide Table"/>
    <w:basedOn w:val="Normal"/>
    <w:rsid w:val="00C74B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4BDA"/>
  </w:style>
  <w:style w:type="paragraph" w:styleId="Quote">
    <w:name w:val="Quote"/>
    <w:basedOn w:val="Heading1"/>
    <w:link w:val="QuoteChar"/>
    <w:qFormat/>
    <w:rsid w:val="00C74B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4B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4BDA"/>
    <w:pPr>
      <w:pageBreakBefore/>
    </w:pPr>
  </w:style>
  <w:style w:type="paragraph" w:customStyle="1" w:styleId="Border">
    <w:name w:val="Border"/>
    <w:basedOn w:val="Normal"/>
    <w:qFormat/>
    <w:rsid w:val="00C74B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4B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4B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4B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4B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4B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4B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4B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4B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4BDA"/>
    <w:rPr>
      <w:u w:val="single"/>
    </w:rPr>
  </w:style>
  <w:style w:type="character" w:customStyle="1" w:styleId="BoldandItalics">
    <w:name w:val="Bold and Italics"/>
    <w:qFormat/>
    <w:rsid w:val="00C74BDA"/>
    <w:rPr>
      <w:b/>
      <w:i/>
      <w:u w:val="none"/>
    </w:rPr>
  </w:style>
  <w:style w:type="paragraph" w:styleId="BalloonText">
    <w:name w:val="Balloon Text"/>
    <w:basedOn w:val="Normal"/>
    <w:link w:val="BalloonTextChar"/>
    <w:rsid w:val="00C74B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4B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4B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4B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4B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4B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4BDA"/>
    <w:pPr>
      <w:spacing w:before="0" w:after="0"/>
    </w:pPr>
  </w:style>
  <w:style w:type="paragraph" w:customStyle="1" w:styleId="BodyTextBold">
    <w:name w:val="Body Text Bold"/>
    <w:basedOn w:val="BodyText"/>
    <w:qFormat/>
    <w:rsid w:val="00C74BDA"/>
    <w:rPr>
      <w:b/>
    </w:rPr>
  </w:style>
  <w:style w:type="character" w:styleId="Hyperlink">
    <w:name w:val="Hyperlink"/>
    <w:basedOn w:val="DefaultParagraphFont"/>
    <w:uiPriority w:val="99"/>
    <w:unhideWhenUsed/>
    <w:rsid w:val="00D672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543</Words>
  <Characters>3575</Characters>
  <Application>Microsoft Office Word</Application>
  <DocSecurity>0</DocSecurity>
  <Lines>96</Lines>
  <Paragraphs>74</Paragraphs>
  <ScaleCrop>false</ScaleCrop>
  <Company>Author-it Software Corporation Ltd.</Company>
  <LinksUpToDate>false</LinksUpToDate>
  <CharactersWithSpaces>4044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DEFWDV017 Employ thermal cutting and welding tools (non-load bearing) in an underwater environment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2022-03-23T02:39:00Z</dcterms:created>
  <dcterms:modified xsi:type="dcterms:W3CDTF">2022-03-23T02:39:00Z</dcterms:modified>
</cp:coreProperties>
</file>