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029B" w:rsidP="00F1029B">
      <w:pPr>
        <w:pStyle w:val="Title"/>
      </w:pPr>
      <w:r>
        <w:fldChar w:fldCharType="begin"/>
      </w:r>
      <w:r>
        <w:instrText xml:space="preserve"> TITLE   \* MERGEFORMAT </w:instrText>
      </w:r>
      <w:r>
        <w:fldChar w:fldCharType="separate"/>
      </w:r>
      <w:r>
        <w:t>DEFWDV016 Perform underwater rigging work</w:t>
      </w:r>
      <w:r>
        <w:fldChar w:fldCharType="end"/>
      </w:r>
    </w:p>
    <w:p w:rsidR="00F1029B" w:rsidP="00F1029B">
      <w:pPr>
        <w:pStyle w:val="Version"/>
        <w:sectPr w:rsidSect="00CA5A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5A57" w:rsidP="00CA5A57">
      <w:pPr>
        <w:pStyle w:val="SuperHeading"/>
      </w:pPr>
      <w:r w:rsidRPr="00CA5A57">
        <w:t>DEFWDV016 Perform underwater rigging work</w:t>
      </w:r>
    </w:p>
    <w:p w:rsidR="00000000" w:rsidRPr="00CA5A57" w:rsidP="00CA5A57">
      <w:pPr>
        <w:pStyle w:val="Heading1"/>
      </w:pPr>
      <w:bookmarkStart w:id="1" w:name="O_959199"/>
      <w:bookmarkEnd w:id="1"/>
      <w:r w:rsidRPr="00CA5A57">
        <w:t>Modification History</w:t>
      </w:r>
    </w:p>
    <w:tbl>
      <w:tblPr>
        <w:tblW w:w="9497" w:type="dxa"/>
        <w:tblLayout w:type="fixed"/>
        <w:tblCellMar>
          <w:left w:w="62" w:type="dxa"/>
          <w:right w:w="62" w:type="dxa"/>
        </w:tblCellMar>
        <w:tblLook w:val="0000"/>
      </w:tblPr>
      <w:tblGrid>
        <w:gridCol w:w="9497"/>
      </w:tblGrid>
      <w:tr w:rsidTr="00CA5A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5A57" w:rsidP="00CA5A57">
            <w:pPr>
              <w:pStyle w:val="BodyText"/>
            </w:pPr>
            <w:r w:rsidRPr="00CA5A57">
              <w:t>Release 1. This is the first release of this unit of competency in the DEF Defence Training Package.</w:t>
            </w:r>
          </w:p>
        </w:tc>
      </w:tr>
    </w:tbl>
    <w:p w:rsidR="00000000" w:rsidRPr="00CA5A57" w:rsidP="00CA5A57">
      <w:pPr>
        <w:pStyle w:val="NoPaddingFontSize1"/>
      </w:pPr>
    </w:p>
    <w:p w:rsidR="00000000" w:rsidRPr="00CA5A57" w:rsidP="00CA5A57">
      <w:pPr>
        <w:pStyle w:val="AllowPageBreak"/>
      </w:pPr>
    </w:p>
    <w:p w:rsidR="00000000" w:rsidRPr="00CA5A57" w:rsidP="00CA5A57">
      <w:pPr>
        <w:pStyle w:val="Heading1"/>
      </w:pPr>
      <w:bookmarkStart w:id="2" w:name="O_959200"/>
      <w:bookmarkEnd w:id="2"/>
      <w:r w:rsidRPr="00CA5A57">
        <w:t>Application</w:t>
      </w:r>
    </w:p>
    <w:tbl>
      <w:tblPr>
        <w:tblW w:w="9497" w:type="dxa"/>
        <w:tblLayout w:type="fixed"/>
        <w:tblCellMar>
          <w:left w:w="62" w:type="dxa"/>
          <w:right w:w="62" w:type="dxa"/>
        </w:tblCellMar>
        <w:tblLook w:val="0000"/>
      </w:tblPr>
      <w:tblGrid>
        <w:gridCol w:w="9497"/>
      </w:tblGrid>
      <w:tr w:rsidTr="00CA5A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5A57" w:rsidP="00CA5A57">
            <w:pPr>
              <w:pStyle w:val="BodyText"/>
            </w:pPr>
            <w:r w:rsidRPr="00CA5A57">
              <w:t>This unit specifies the skills and knowledge required to complete underwater rigging work.</w:t>
            </w:r>
          </w:p>
          <w:p w:rsidR="00000000" w:rsidRPr="00CA5A57" w:rsidP="00CA5A57">
            <w:pPr>
              <w:pStyle w:val="BodyText"/>
            </w:pPr>
            <w:r w:rsidRPr="00CA5A57">
              <w:t xml:space="preserve">It includes </w:t>
            </w:r>
            <w:r w:rsidRPr="00CA5A57">
              <w:t>securing and moving submerged loads by employing blocks and tackle, chains, slings and cordage. It also includes establishing secure lift points, setting rigging equipment between load and lifting platform, and controlling the conduct of the lift.</w:t>
            </w:r>
          </w:p>
          <w:p w:rsidR="00000000" w:rsidRPr="00CA5A57" w:rsidP="00CA5A57">
            <w:pPr>
              <w:pStyle w:val="BodyText"/>
            </w:pPr>
            <w:r w:rsidRPr="00CA5A57">
              <w:t>This uni</w:t>
            </w:r>
            <w:r w:rsidRPr="00CA5A57">
              <w:t>t applies to persons working as Defence divers.</w:t>
            </w:r>
          </w:p>
          <w:p w:rsidR="00000000" w:rsidRPr="00CA5A57" w:rsidP="00CA5A57">
            <w:pPr>
              <w:pStyle w:val="BodyText"/>
            </w:pPr>
            <w:r w:rsidRPr="00CA5A57">
              <w:t>The skills and knowledge described in this unit must be applied within the legislative, regulatory and policy environment in which they are carried out. Organisational policies and procedures must be consulte</w:t>
            </w:r>
            <w:r w:rsidRPr="00CA5A57">
              <w:t>d and adhered to.</w:t>
            </w:r>
          </w:p>
          <w:p w:rsidR="00000000" w:rsidRPr="00CA5A57" w:rsidP="00CA5A57">
            <w:pPr>
              <w:pStyle w:val="BodyText"/>
            </w:pPr>
            <w:r w:rsidRPr="00CA5A57">
              <w:t>Persons undertaking this unit work independently and perform specific tasks in a range of contexts that could be unpredictable.</w:t>
            </w:r>
          </w:p>
          <w:p w:rsidR="00000000" w:rsidRPr="00CA5A57" w:rsidP="00CA5A57">
            <w:pPr>
              <w:pStyle w:val="BodyText"/>
            </w:pPr>
            <w:r w:rsidRPr="00CA5A57">
              <w:t>No licensing, legislative or certification requirements apply to this unit at the time of publication.</w:t>
            </w:r>
          </w:p>
        </w:tc>
      </w:tr>
    </w:tbl>
    <w:p w:rsidR="00000000" w:rsidRPr="00CA5A57" w:rsidP="00CA5A57">
      <w:pPr>
        <w:pStyle w:val="NoPaddingFontSize1"/>
      </w:pPr>
    </w:p>
    <w:p w:rsidR="00000000" w:rsidRPr="00CA5A57" w:rsidP="00CA5A57">
      <w:pPr>
        <w:pStyle w:val="AllowPageBreak"/>
      </w:pPr>
    </w:p>
    <w:p w:rsidR="00000000" w:rsidRPr="00CA5A57" w:rsidP="00CA5A57">
      <w:pPr>
        <w:pStyle w:val="Heading1"/>
      </w:pPr>
      <w:bookmarkStart w:id="3" w:name="O_959201"/>
      <w:bookmarkEnd w:id="3"/>
      <w:r w:rsidRPr="00CA5A57">
        <w:t>Pre-requisite Unit</w:t>
      </w:r>
    </w:p>
    <w:tbl>
      <w:tblPr>
        <w:tblW w:w="9497" w:type="dxa"/>
        <w:tblLayout w:type="fixed"/>
        <w:tblCellMar>
          <w:left w:w="62" w:type="dxa"/>
          <w:right w:w="62" w:type="dxa"/>
        </w:tblCellMar>
        <w:tblLook w:val="0000"/>
      </w:tblPr>
      <w:tblGrid>
        <w:gridCol w:w="9497"/>
      </w:tblGrid>
      <w:tr w:rsidTr="00CA5A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5A57" w:rsidP="00CA5A57">
            <w:pPr>
              <w:pStyle w:val="BodyText"/>
            </w:pPr>
            <w:r w:rsidRPr="00CA5A57">
              <w:t>Not applicable</w:t>
            </w:r>
          </w:p>
        </w:tc>
      </w:tr>
    </w:tbl>
    <w:p w:rsidR="00000000" w:rsidRPr="00CA5A57" w:rsidP="00CA5A57">
      <w:pPr>
        <w:pStyle w:val="NoPaddingFontSize1"/>
      </w:pPr>
    </w:p>
    <w:p w:rsidR="00000000" w:rsidRPr="00CA5A57" w:rsidP="00CA5A57">
      <w:pPr>
        <w:pStyle w:val="AllowPageBreak"/>
      </w:pPr>
    </w:p>
    <w:p w:rsidR="00000000" w:rsidRPr="00CA5A57" w:rsidP="00CA5A57">
      <w:pPr>
        <w:pStyle w:val="Heading1"/>
      </w:pPr>
      <w:bookmarkStart w:id="4" w:name="O_959202"/>
      <w:bookmarkEnd w:id="4"/>
      <w:r w:rsidRPr="00CA5A57">
        <w:t>Competency Field</w:t>
      </w:r>
    </w:p>
    <w:tbl>
      <w:tblPr>
        <w:tblW w:w="9497" w:type="dxa"/>
        <w:tblLayout w:type="fixed"/>
        <w:tblCellMar>
          <w:left w:w="62" w:type="dxa"/>
          <w:right w:w="62" w:type="dxa"/>
        </w:tblCellMar>
        <w:tblLook w:val="0000"/>
      </w:tblPr>
      <w:tblGrid>
        <w:gridCol w:w="9497"/>
      </w:tblGrid>
      <w:tr w:rsidTr="00CA5A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5A57" w:rsidP="00CA5A57">
            <w:pPr>
              <w:pStyle w:val="BodyText"/>
            </w:pPr>
            <w:r w:rsidRPr="00CA5A57">
              <w:t>Work Diving</w:t>
            </w:r>
          </w:p>
        </w:tc>
      </w:tr>
    </w:tbl>
    <w:p w:rsidR="00000000" w:rsidRPr="00CA5A57" w:rsidP="00CA5A57">
      <w:pPr>
        <w:pStyle w:val="NoPaddingFontSize1"/>
      </w:pPr>
    </w:p>
    <w:p w:rsidR="00000000" w:rsidRPr="00CA5A57" w:rsidP="00CA5A57">
      <w:pPr>
        <w:pStyle w:val="AllowPageBreak"/>
      </w:pPr>
    </w:p>
    <w:p w:rsidR="00000000" w:rsidRPr="00CA5A57" w:rsidP="00CA5A57">
      <w:pPr>
        <w:pStyle w:val="Heading1"/>
      </w:pPr>
      <w:bookmarkStart w:id="5" w:name="O_959203"/>
      <w:bookmarkEnd w:id="5"/>
      <w:r w:rsidRPr="00CA5A57">
        <w:t>Unit Sector</w:t>
      </w:r>
    </w:p>
    <w:tbl>
      <w:tblPr>
        <w:tblW w:w="9497" w:type="dxa"/>
        <w:tblLayout w:type="fixed"/>
        <w:tblCellMar>
          <w:left w:w="62" w:type="dxa"/>
          <w:right w:w="62" w:type="dxa"/>
        </w:tblCellMar>
        <w:tblLook w:val="0000"/>
      </w:tblPr>
      <w:tblGrid>
        <w:gridCol w:w="9497"/>
      </w:tblGrid>
      <w:tr w:rsidTr="00CA5A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5A57" w:rsidP="00CA5A57">
            <w:pPr>
              <w:pStyle w:val="BodyText"/>
            </w:pPr>
            <w:r w:rsidRPr="00CA5A57">
              <w:t>Not applicable.</w:t>
            </w:r>
          </w:p>
        </w:tc>
      </w:tr>
    </w:tbl>
    <w:p w:rsidR="00000000" w:rsidRPr="00CA5A57" w:rsidP="00CA5A57">
      <w:pPr>
        <w:pStyle w:val="NoPaddingFontSize1"/>
      </w:pPr>
    </w:p>
    <w:p w:rsidR="00000000" w:rsidRPr="00CA5A57" w:rsidP="00CA5A57">
      <w:pPr>
        <w:pStyle w:val="AllowPageBreak"/>
      </w:pPr>
    </w:p>
    <w:p w:rsidR="00000000" w:rsidRPr="00CA5A57" w:rsidP="00CA5A57">
      <w:pPr>
        <w:pStyle w:val="Heading1"/>
      </w:pPr>
      <w:bookmarkStart w:id="6" w:name="O_959204"/>
      <w:bookmarkEnd w:id="6"/>
      <w:r w:rsidRPr="00CA5A5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A5A5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A5A57" w:rsidP="00CA5A57">
            <w:pPr>
              <w:pStyle w:val="BodyText"/>
            </w:pPr>
            <w:r w:rsidRPr="00CA5A5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A5A57">
            <w:pPr>
              <w:pStyle w:val="BodyText"/>
              <w:rPr>
                <w:lang w:val="en-NZ"/>
              </w:rPr>
            </w:pPr>
            <w:r w:rsidRPr="00CA5A57">
              <w:rPr>
                <w:rStyle w:val="SpecialBold"/>
              </w:rPr>
              <w:t>PERFORMANCE CRITERIA</w:t>
            </w:r>
          </w:p>
        </w:tc>
      </w:tr>
      <w:tr w:rsidTr="00CA5A5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A5A57">
            <w:pPr>
              <w:pStyle w:val="BodyText"/>
              <w:rPr>
                <w:lang w:val="en-NZ"/>
              </w:rPr>
            </w:pPr>
            <w:r w:rsidRPr="00CA5A5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A5A57">
            <w:pPr>
              <w:pStyle w:val="BodyText"/>
              <w:rPr>
                <w:lang w:val="en-NZ"/>
              </w:rPr>
            </w:pPr>
            <w:r w:rsidRPr="00CA5A57">
              <w:t>Performance criteria describe the performance needed to demonstrate achievement of the element.</w:t>
            </w:r>
          </w:p>
        </w:tc>
      </w:tr>
      <w:tr w:rsidTr="00CA5A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A5A57" w:rsidP="00CA5A57">
            <w:pPr>
              <w:pStyle w:val="BodyText"/>
            </w:pPr>
            <w:r w:rsidRPr="00CA5A5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A5A57" w:rsidP="00CA5A57">
            <w:pPr>
              <w:pStyle w:val="BodyText"/>
            </w:pPr>
            <w:r w:rsidRPr="00CA5A57">
              <w:rPr>
                <w:rStyle w:val="SpecialBold"/>
              </w:rPr>
              <w:t>Prepare for underwater rigging operation</w:t>
            </w:r>
          </w:p>
        </w:tc>
        <w:tc>
          <w:tcPr>
            <w:tcW w:w="697" w:type="dxa"/>
            <w:tcBorders>
              <w:top w:val="nil"/>
              <w:left w:val="nil"/>
              <w:bottom w:val="nil"/>
              <w:right w:val="nil"/>
            </w:tcBorders>
            <w:tcMar>
              <w:top w:w="0" w:type="dxa"/>
              <w:left w:w="62" w:type="dxa"/>
              <w:bottom w:w="0" w:type="dxa"/>
              <w:right w:w="62" w:type="dxa"/>
            </w:tcMar>
          </w:tcPr>
          <w:p w:rsidR="00000000" w:rsidP="00CA5A57">
            <w:pPr>
              <w:pStyle w:val="BodyText"/>
              <w:rPr>
                <w:lang w:val="en-NZ"/>
              </w:rPr>
            </w:pPr>
            <w:r w:rsidRPr="00CA5A5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A5A57">
            <w:pPr>
              <w:pStyle w:val="BodyText"/>
              <w:rPr>
                <w:lang w:val="en-NZ"/>
              </w:rPr>
            </w:pPr>
            <w:r w:rsidRPr="00CA5A57">
              <w:t>Identify load metrics and worksite data to meet task requirements</w:t>
            </w:r>
          </w:p>
        </w:tc>
      </w:tr>
      <w:tr w:rsidTr="00CA5A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5A5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5A57">
            <w:pPr>
              <w:pStyle w:val="BodyText"/>
              <w:rPr>
                <w:lang w:val="en-NZ"/>
              </w:rPr>
            </w:pPr>
            <w:r w:rsidRPr="00CA5A5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A5A57">
            <w:pPr>
              <w:pStyle w:val="BodyText"/>
              <w:rPr>
                <w:lang w:val="en-NZ"/>
              </w:rPr>
            </w:pPr>
            <w:r w:rsidRPr="00CA5A57">
              <w:t>Develop work plan consistent with dive plan in accordance with organisational procedures and task requirements</w:t>
            </w:r>
          </w:p>
        </w:tc>
      </w:tr>
      <w:tr w:rsidTr="00CA5A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5A5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5A57">
            <w:pPr>
              <w:pStyle w:val="BodyText"/>
              <w:rPr>
                <w:lang w:val="en-NZ"/>
              </w:rPr>
            </w:pPr>
            <w:r w:rsidRPr="00CA5A5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A5A57">
            <w:pPr>
              <w:pStyle w:val="BodyText"/>
              <w:rPr>
                <w:lang w:val="en-NZ"/>
              </w:rPr>
            </w:pPr>
            <w:r w:rsidRPr="00CA5A57">
              <w:t>Select, inspect and prepare rigging gear in accordance with safe lifting weight limits and work plan</w:t>
            </w:r>
          </w:p>
        </w:tc>
      </w:tr>
      <w:tr w:rsidTr="00CA5A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5A5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5A57">
            <w:pPr>
              <w:pStyle w:val="BodyText"/>
              <w:rPr>
                <w:lang w:val="en-NZ"/>
              </w:rPr>
            </w:pPr>
            <w:r w:rsidRPr="00CA5A5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A5A57">
            <w:pPr>
              <w:pStyle w:val="BodyText"/>
              <w:rPr>
                <w:lang w:val="en-NZ"/>
              </w:rPr>
            </w:pPr>
            <w:r w:rsidRPr="00CA5A57">
              <w:t>Secure rigging gear for safe transport to/from dive site</w:t>
            </w:r>
          </w:p>
        </w:tc>
      </w:tr>
      <w:tr w:rsidTr="00CA5A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5A5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5A57">
            <w:pPr>
              <w:pStyle w:val="BodyText"/>
              <w:rPr>
                <w:lang w:val="en-NZ"/>
              </w:rPr>
            </w:pPr>
            <w:r w:rsidRPr="00CA5A5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A5A57">
            <w:pPr>
              <w:pStyle w:val="BodyText"/>
              <w:rPr>
                <w:lang w:val="en-NZ"/>
              </w:rPr>
            </w:pPr>
            <w:r w:rsidRPr="00CA5A57">
              <w:t>Identify obstructions and other lift hazards to determine risks and to manage risk control measures in accordance with dive plan</w:t>
            </w:r>
          </w:p>
        </w:tc>
      </w:tr>
      <w:tr w:rsidTr="00CA5A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A5A57" w:rsidP="00CA5A57">
            <w:pPr>
              <w:pStyle w:val="BodyText"/>
            </w:pPr>
            <w:r w:rsidRPr="00CA5A5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A5A57" w:rsidP="00CA5A57">
            <w:pPr>
              <w:pStyle w:val="BodyText"/>
            </w:pPr>
            <w:r w:rsidRPr="00CA5A57">
              <w:rPr>
                <w:rStyle w:val="SpecialBold"/>
              </w:rPr>
              <w:t>Lift and handle submerged objects using mechanical advantage</w:t>
            </w:r>
          </w:p>
        </w:tc>
        <w:tc>
          <w:tcPr>
            <w:tcW w:w="697" w:type="dxa"/>
            <w:tcBorders>
              <w:top w:val="nil"/>
              <w:left w:val="nil"/>
              <w:bottom w:val="nil"/>
              <w:right w:val="nil"/>
            </w:tcBorders>
            <w:tcMar>
              <w:top w:w="0" w:type="dxa"/>
              <w:left w:w="62" w:type="dxa"/>
              <w:bottom w:w="0" w:type="dxa"/>
              <w:right w:w="62" w:type="dxa"/>
            </w:tcMar>
          </w:tcPr>
          <w:p w:rsidR="00000000" w:rsidP="00CA5A57">
            <w:pPr>
              <w:pStyle w:val="BodyText"/>
              <w:rPr>
                <w:lang w:val="en-NZ"/>
              </w:rPr>
            </w:pPr>
            <w:r w:rsidRPr="00CA5A5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A5A57">
            <w:pPr>
              <w:pStyle w:val="BodyText"/>
              <w:rPr>
                <w:lang w:val="en-NZ"/>
              </w:rPr>
            </w:pPr>
            <w:r w:rsidRPr="00CA5A57">
              <w:t>Identify lift points to secure object to lifting device in accordance with safe lifting weight limits</w:t>
            </w:r>
          </w:p>
        </w:tc>
      </w:tr>
      <w:tr w:rsidTr="00CA5A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5A5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5A57">
            <w:pPr>
              <w:pStyle w:val="BodyText"/>
              <w:rPr>
                <w:lang w:val="en-NZ"/>
              </w:rPr>
            </w:pPr>
            <w:r w:rsidRPr="00CA5A5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A5A57">
            <w:pPr>
              <w:pStyle w:val="BodyText"/>
              <w:rPr>
                <w:lang w:val="en-NZ"/>
              </w:rPr>
            </w:pPr>
            <w:r w:rsidRPr="00CA5A57">
              <w:t>Determine a safe work area and confirm location of other divers and nearby surface vessels and/or structure prior to commencing lift, in accordance with work plan</w:t>
            </w:r>
          </w:p>
        </w:tc>
      </w:tr>
      <w:tr w:rsidTr="00CA5A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5A5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5A57">
            <w:pPr>
              <w:pStyle w:val="BodyText"/>
              <w:rPr>
                <w:lang w:val="en-NZ"/>
              </w:rPr>
            </w:pPr>
            <w:r w:rsidRPr="00CA5A5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A5A57">
            <w:pPr>
              <w:pStyle w:val="BodyText"/>
              <w:rPr>
                <w:lang w:val="en-NZ"/>
              </w:rPr>
            </w:pPr>
            <w:r w:rsidRPr="00CA5A57">
              <w:t>Operate lifting devices within accepted load tolerances</w:t>
            </w:r>
          </w:p>
        </w:tc>
      </w:tr>
      <w:tr w:rsidTr="00CA5A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5A5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5A57">
            <w:pPr>
              <w:pStyle w:val="BodyText"/>
              <w:rPr>
                <w:lang w:val="en-NZ"/>
              </w:rPr>
            </w:pPr>
            <w:r w:rsidRPr="00CA5A5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A5A57">
            <w:pPr>
              <w:pStyle w:val="BodyText"/>
              <w:rPr>
                <w:lang w:val="en-NZ"/>
              </w:rPr>
            </w:pPr>
            <w:r w:rsidRPr="00CA5A57">
              <w:t xml:space="preserve">Ensure lifting devices </w:t>
            </w:r>
            <w:r w:rsidRPr="00CA5A57">
              <w:t>are anchored off raised objects in accordance with operational and safety procedures</w:t>
            </w:r>
          </w:p>
        </w:tc>
      </w:tr>
      <w:tr w:rsidTr="00CA5A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A5A57" w:rsidP="00CA5A57">
            <w:pPr>
              <w:pStyle w:val="BodyText"/>
            </w:pPr>
            <w:r w:rsidRPr="00CA5A5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A5A57" w:rsidP="00CA5A57">
            <w:pPr>
              <w:pStyle w:val="BodyText"/>
            </w:pPr>
            <w:r w:rsidRPr="00CA5A57">
              <w:rPr>
                <w:rStyle w:val="SpecialBold"/>
              </w:rPr>
              <w:t>Complete underwater rigging operations</w:t>
            </w:r>
          </w:p>
        </w:tc>
        <w:tc>
          <w:tcPr>
            <w:tcW w:w="697" w:type="dxa"/>
            <w:tcBorders>
              <w:top w:val="nil"/>
              <w:left w:val="nil"/>
              <w:bottom w:val="nil"/>
              <w:right w:val="nil"/>
            </w:tcBorders>
            <w:tcMar>
              <w:top w:w="0" w:type="dxa"/>
              <w:left w:w="62" w:type="dxa"/>
              <w:bottom w:w="0" w:type="dxa"/>
              <w:right w:w="62" w:type="dxa"/>
            </w:tcMar>
          </w:tcPr>
          <w:p w:rsidR="00000000" w:rsidP="00CA5A57">
            <w:pPr>
              <w:pStyle w:val="BodyText"/>
              <w:rPr>
                <w:lang w:val="en-NZ"/>
              </w:rPr>
            </w:pPr>
            <w:r w:rsidRPr="00CA5A5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A5A57">
            <w:pPr>
              <w:pStyle w:val="BodyText"/>
              <w:rPr>
                <w:lang w:val="en-NZ"/>
              </w:rPr>
            </w:pPr>
            <w:r w:rsidRPr="00CA5A57">
              <w:t>Minimise environmental impact arising from work task and recover waste products</w:t>
            </w:r>
          </w:p>
        </w:tc>
      </w:tr>
      <w:tr w:rsidTr="00CA5A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5A5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5A57">
            <w:pPr>
              <w:pStyle w:val="BodyText"/>
              <w:rPr>
                <w:lang w:val="en-NZ"/>
              </w:rPr>
            </w:pPr>
            <w:r w:rsidRPr="00CA5A5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A5A57">
            <w:pPr>
              <w:pStyle w:val="BodyText"/>
              <w:rPr>
                <w:lang w:val="en-NZ"/>
              </w:rPr>
            </w:pPr>
            <w:r w:rsidRPr="00CA5A57">
              <w:t>Disassemble, inspect, de-service and store rigging gear</w:t>
            </w:r>
          </w:p>
        </w:tc>
      </w:tr>
      <w:tr w:rsidTr="00CA5A5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5A5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A5A57">
            <w:pPr>
              <w:pStyle w:val="BodyText"/>
              <w:rPr>
                <w:lang w:val="en-NZ"/>
              </w:rPr>
            </w:pPr>
            <w:r w:rsidRPr="00CA5A5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CA5A57" w:rsidP="00CA5A57">
            <w:pPr>
              <w:pStyle w:val="BodyText"/>
            </w:pPr>
            <w:r w:rsidRPr="00CA5A57">
              <w:t>Complete required documentation and records, in accordance with organisational procedures</w:t>
            </w:r>
          </w:p>
        </w:tc>
      </w:tr>
    </w:tbl>
    <w:p w:rsidR="00000000" w:rsidRPr="00CA5A57" w:rsidP="00CA5A57">
      <w:pPr>
        <w:pStyle w:val="NoPaddingFontSize1"/>
      </w:pPr>
    </w:p>
    <w:p w:rsidR="00000000" w:rsidRPr="00CA5A57" w:rsidP="00CA5A57">
      <w:pPr>
        <w:pStyle w:val="AllowPageBreak"/>
      </w:pPr>
    </w:p>
    <w:p w:rsidR="00000000" w:rsidRPr="00CA5A57" w:rsidP="00CA5A57">
      <w:pPr>
        <w:pStyle w:val="Heading1"/>
      </w:pPr>
      <w:bookmarkStart w:id="7" w:name="O_959205"/>
      <w:bookmarkEnd w:id="7"/>
      <w:r w:rsidRPr="00CA5A57">
        <w:t>Foundation Skills</w:t>
      </w:r>
    </w:p>
    <w:tbl>
      <w:tblPr>
        <w:tblW w:w="9497" w:type="dxa"/>
        <w:tblLayout w:type="fixed"/>
        <w:tblCellMar>
          <w:left w:w="62" w:type="dxa"/>
          <w:right w:w="62" w:type="dxa"/>
        </w:tblCellMar>
        <w:tblLook w:val="0000"/>
      </w:tblPr>
      <w:tblGrid>
        <w:gridCol w:w="9497"/>
      </w:tblGrid>
      <w:tr w:rsidTr="00CA5A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5A57" w:rsidP="00CA5A57">
            <w:pPr>
              <w:pStyle w:val="BodyText"/>
            </w:pPr>
            <w:r w:rsidRPr="00CA5A57">
              <w:t>Foundation skills essenti</w:t>
            </w:r>
            <w:r w:rsidRPr="00CA5A57">
              <w:t>al to performance are explicit in the performance criteria of this unit of competency.</w:t>
            </w:r>
          </w:p>
        </w:tc>
      </w:tr>
    </w:tbl>
    <w:p w:rsidR="00000000" w:rsidRPr="00CA5A57" w:rsidP="00CA5A57">
      <w:pPr>
        <w:pStyle w:val="NoPaddingFontSize1"/>
      </w:pPr>
    </w:p>
    <w:p w:rsidR="00000000" w:rsidRPr="00CA5A57" w:rsidP="00CA5A57">
      <w:pPr>
        <w:pStyle w:val="AllowPageBreak"/>
      </w:pPr>
    </w:p>
    <w:p w:rsidR="00000000" w:rsidRPr="00CA5A57" w:rsidP="00CA5A57">
      <w:pPr>
        <w:pStyle w:val="Heading1"/>
      </w:pPr>
      <w:bookmarkStart w:id="8" w:name="O_959206"/>
      <w:bookmarkEnd w:id="8"/>
      <w:r w:rsidRPr="00CA5A57">
        <w:t>Range of Conditions</w:t>
      </w:r>
    </w:p>
    <w:tbl>
      <w:tblPr>
        <w:tblW w:w="9497" w:type="dxa"/>
        <w:tblLayout w:type="fixed"/>
        <w:tblCellMar>
          <w:left w:w="62" w:type="dxa"/>
          <w:right w:w="62" w:type="dxa"/>
        </w:tblCellMar>
        <w:tblLook w:val="0000"/>
      </w:tblPr>
      <w:tblGrid>
        <w:gridCol w:w="9497"/>
      </w:tblGrid>
      <w:tr w:rsidTr="00CA5A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5A57" w:rsidP="00CA5A57">
            <w:pPr>
              <w:pStyle w:val="BodyText"/>
            </w:pPr>
            <w:r w:rsidRPr="00CA5A57">
              <w:t>Range is restricted to essential operating conditions and any other variables essential to the work environment.</w:t>
            </w:r>
          </w:p>
          <w:p w:rsidR="00000000" w:rsidRPr="00CA5A57" w:rsidP="00CA5A57">
            <w:pPr>
              <w:pStyle w:val="BodyText"/>
            </w:pPr>
            <w:r w:rsidRPr="00CA5A57">
              <w:t>Non-essential con</w:t>
            </w:r>
            <w:r w:rsidRPr="00CA5A57">
              <w:t>ditions may be found in the Companion Volume Implementation Guide.</w:t>
            </w:r>
          </w:p>
        </w:tc>
      </w:tr>
    </w:tbl>
    <w:p w:rsidR="00000000" w:rsidRPr="00CA5A57" w:rsidP="00CA5A57">
      <w:pPr>
        <w:pStyle w:val="NoPaddingFontSize1"/>
      </w:pPr>
    </w:p>
    <w:p w:rsidR="00000000" w:rsidRPr="00CA5A57" w:rsidP="00CA5A57">
      <w:pPr>
        <w:pStyle w:val="AllowPageBreak"/>
      </w:pPr>
    </w:p>
    <w:p w:rsidR="00000000" w:rsidRPr="00CA5A57" w:rsidP="00CA5A57">
      <w:pPr>
        <w:pStyle w:val="Heading1"/>
      </w:pPr>
      <w:bookmarkStart w:id="9" w:name="O_959207"/>
      <w:bookmarkEnd w:id="9"/>
      <w:r w:rsidRPr="00CA5A57">
        <w:t>Unit Mapping Information</w:t>
      </w:r>
    </w:p>
    <w:tbl>
      <w:tblPr>
        <w:tblW w:w="9497" w:type="dxa"/>
        <w:tblLayout w:type="fixed"/>
        <w:tblCellMar>
          <w:left w:w="62" w:type="dxa"/>
          <w:right w:w="62" w:type="dxa"/>
        </w:tblCellMar>
        <w:tblLook w:val="0000"/>
      </w:tblPr>
      <w:tblGrid>
        <w:gridCol w:w="9497"/>
      </w:tblGrid>
      <w:tr w:rsidTr="00CA5A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5A57" w:rsidP="00CA5A57">
            <w:pPr>
              <w:pStyle w:val="BodyText"/>
            </w:pPr>
            <w:r w:rsidRPr="00CA5A57">
              <w:t>This unit replaces but is not equivalent to DEFDV016B Perform underwater rigging work.</w:t>
            </w:r>
          </w:p>
        </w:tc>
      </w:tr>
    </w:tbl>
    <w:p w:rsidR="00000000" w:rsidRPr="00CA5A57" w:rsidP="00CA5A57">
      <w:pPr>
        <w:pStyle w:val="NoPaddingFontSize1"/>
      </w:pPr>
    </w:p>
    <w:p w:rsidR="00000000" w:rsidRPr="00CA5A57" w:rsidP="00CA5A57">
      <w:pPr>
        <w:pStyle w:val="AllowPageBreak"/>
      </w:pPr>
    </w:p>
    <w:p w:rsidR="00000000" w:rsidRPr="00CA5A57" w:rsidP="00CA5A57">
      <w:pPr>
        <w:pStyle w:val="Heading1"/>
      </w:pPr>
      <w:bookmarkStart w:id="10" w:name="O_959214"/>
      <w:bookmarkEnd w:id="10"/>
      <w:r w:rsidRPr="00CA5A57">
        <w:t>Links</w:t>
      </w:r>
    </w:p>
    <w:p w:rsidR="00000000" w:rsidRPr="00CA5A57" w:rsidP="00F1029B">
      <w:pPr>
        <w:pStyle w:val="BodyText"/>
      </w:pPr>
      <w:r w:rsidRPr="00CA5A57">
        <w:t xml:space="preserve">Companion Volume - </w:t>
      </w:r>
      <w:r>
        <w:fldChar w:fldCharType="begin"/>
      </w:r>
      <w:r>
        <w:instrText xml:space="preserve"> HYPERLINK "https://vetnet.gov.au/Pages/TrainingDocs.aspx?q=6bdbab1e-11ed-4bc9-9cba-9e1a55d4e4a9" </w:instrText>
      </w:r>
      <w:r>
        <w:fldChar w:fldCharType="separate"/>
      </w:r>
      <w:r w:rsidRPr="005407F3">
        <w:rPr>
          <w:rStyle w:val="Hyperlink"/>
        </w:rPr>
        <w:t>https://vetnet.gov.au/Pages/TrainingDocs.aspx?q=6bdbab1e-11ed-4bc9-9cba-9e1a55d4e4a9</w:t>
      </w:r>
      <w:r>
        <w:fldChar w:fldCharType="end"/>
      </w:r>
    </w:p>
    <w:p w:rsidR="00000000" w:rsidRPr="00CA5A57" w:rsidP="00CA5A57"/>
    <w:sectPr w:rsidSect="00CA5A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A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A57" w:rsidRPr="00F1029B" w:rsidP="00F102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A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29B" w:rsidP="00CA5A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029B" w:rsidP="00CA5A5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1029B" w:rsidP="00CA5A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A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2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5A57" w:rsidRPr="00F1029B" w:rsidP="00F102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A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29B" w:rsidRPr="002D2AF8" w:rsidP="00CA5A57">
    <w:pPr>
      <w:pStyle w:val="Header"/>
      <w:framePr w:wrap="around"/>
    </w:pPr>
    <w:r>
      <w:fldChar w:fldCharType="begin"/>
    </w:r>
    <w:r>
      <w:instrText xml:space="preserve"> TITLE   \* MERGEFORMAT </w:instrText>
    </w:r>
    <w:r>
      <w:fldChar w:fldCharType="separate"/>
    </w:r>
    <w:r>
      <w:t>DEFWDV016 Perform underwater rigging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F1029B" w:rsidP="00CA5A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A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5A57"/>
    <w:pPr>
      <w:spacing w:before="360" w:after="60"/>
      <w:outlineLvl w:val="0"/>
    </w:pPr>
    <w:rPr>
      <w:sz w:val="32"/>
    </w:rPr>
  </w:style>
  <w:style w:type="paragraph" w:styleId="Heading2">
    <w:name w:val="heading 2"/>
    <w:basedOn w:val="HeadingBase"/>
    <w:next w:val="BodyText"/>
    <w:link w:val="Heading2Char"/>
    <w:qFormat/>
    <w:rsid w:val="00CA5A57"/>
    <w:pPr>
      <w:keepLines/>
      <w:spacing w:before="240" w:after="120"/>
      <w:outlineLvl w:val="1"/>
    </w:pPr>
    <w:rPr>
      <w:sz w:val="28"/>
      <w:szCs w:val="40"/>
    </w:rPr>
  </w:style>
  <w:style w:type="paragraph" w:styleId="Heading3">
    <w:name w:val="heading 3"/>
    <w:basedOn w:val="HeadingBase"/>
    <w:next w:val="BodyText"/>
    <w:link w:val="Heading3Char"/>
    <w:qFormat/>
    <w:rsid w:val="00CA5A57"/>
    <w:pPr>
      <w:spacing w:before="180" w:after="120"/>
      <w:outlineLvl w:val="2"/>
    </w:pPr>
    <w:rPr>
      <w:spacing w:val="-10"/>
      <w:kern w:val="32"/>
    </w:rPr>
  </w:style>
  <w:style w:type="paragraph" w:styleId="Heading4">
    <w:name w:val="heading 4"/>
    <w:basedOn w:val="HeadingBase"/>
    <w:next w:val="BodyText"/>
    <w:link w:val="Heading4Char"/>
    <w:qFormat/>
    <w:rsid w:val="00CA5A57"/>
    <w:pPr>
      <w:spacing w:before="160" w:after="120"/>
      <w:outlineLvl w:val="3"/>
    </w:pPr>
    <w:rPr>
      <w:sz w:val="22"/>
    </w:rPr>
  </w:style>
  <w:style w:type="paragraph" w:styleId="Heading5">
    <w:name w:val="heading 5"/>
    <w:basedOn w:val="HeadingBase"/>
    <w:next w:val="Normal"/>
    <w:link w:val="Heading5Char"/>
    <w:qFormat/>
    <w:rsid w:val="00CA5A57"/>
    <w:pPr>
      <w:spacing w:before="80"/>
      <w:outlineLvl w:val="4"/>
    </w:pPr>
    <w:rPr>
      <w:color w:val="918585"/>
      <w:sz w:val="20"/>
    </w:rPr>
  </w:style>
  <w:style w:type="paragraph" w:styleId="Heading6">
    <w:name w:val="heading 6"/>
    <w:basedOn w:val="HeadingBase"/>
    <w:next w:val="Normal"/>
    <w:link w:val="Heading6Char"/>
    <w:qFormat/>
    <w:rsid w:val="00CA5A57"/>
    <w:pPr>
      <w:spacing w:before="60"/>
      <w:outlineLvl w:val="5"/>
    </w:pPr>
    <w:rPr>
      <w:color w:val="918585"/>
      <w:sz w:val="20"/>
    </w:rPr>
  </w:style>
  <w:style w:type="paragraph" w:styleId="Heading7">
    <w:name w:val="heading 7"/>
    <w:basedOn w:val="Normal"/>
    <w:next w:val="Normal"/>
    <w:link w:val="Heading7Char"/>
    <w:qFormat/>
    <w:rsid w:val="00CA5A57"/>
    <w:pPr>
      <w:ind w:left="720"/>
      <w:outlineLvl w:val="6"/>
    </w:pPr>
    <w:rPr>
      <w:i/>
    </w:rPr>
  </w:style>
  <w:style w:type="paragraph" w:styleId="Heading8">
    <w:name w:val="heading 8"/>
    <w:basedOn w:val="Normal"/>
    <w:next w:val="Normal"/>
    <w:link w:val="Heading8Char"/>
    <w:qFormat/>
    <w:rsid w:val="00CA5A57"/>
    <w:pPr>
      <w:ind w:left="720"/>
      <w:outlineLvl w:val="7"/>
    </w:pPr>
    <w:rPr>
      <w:i/>
    </w:rPr>
  </w:style>
  <w:style w:type="paragraph" w:styleId="Heading9">
    <w:name w:val="heading 9"/>
    <w:basedOn w:val="Normal"/>
    <w:next w:val="Normal"/>
    <w:link w:val="Heading9Char"/>
    <w:qFormat/>
    <w:rsid w:val="00CA5A57"/>
    <w:pPr>
      <w:ind w:left="720"/>
      <w:outlineLvl w:val="8"/>
    </w:pPr>
    <w:rPr>
      <w:i/>
    </w:rPr>
  </w:style>
  <w:style w:type="character" w:default="1" w:styleId="DefaultParagraphFont">
    <w:name w:val="Default Paragraph Font"/>
    <w:uiPriority w:val="1"/>
    <w:unhideWhenUsed/>
    <w:rsid w:val="00CA5A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5A57"/>
  </w:style>
  <w:style w:type="character" w:customStyle="1" w:styleId="Heading1Char">
    <w:name w:val="Heading 1 Char"/>
    <w:basedOn w:val="DefaultParagraphFont"/>
    <w:link w:val="Heading1"/>
    <w:rsid w:val="00CA5A57"/>
    <w:rPr>
      <w:rFonts w:ascii="Times New Roman" w:eastAsia="Times New Roman" w:hAnsi="Times New Roman" w:cs="Times New Roman"/>
      <w:b/>
      <w:sz w:val="32"/>
      <w:szCs w:val="20"/>
      <w:lang w:eastAsia="en-US"/>
    </w:rPr>
  </w:style>
  <w:style w:type="paragraph" w:styleId="BodyText">
    <w:name w:val="Body Text"/>
    <w:basedOn w:val="Normal"/>
    <w:link w:val="BodyTextChar"/>
    <w:rsid w:val="00CA5A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5A57"/>
    <w:rPr>
      <w:rFonts w:ascii="Times New Roman" w:eastAsia="Times New Roman" w:hAnsi="Times New Roman" w:cs="Times New Roman"/>
      <w:sz w:val="24"/>
      <w:lang w:eastAsia="en-US"/>
    </w:rPr>
  </w:style>
  <w:style w:type="character" w:customStyle="1" w:styleId="SpecialBold">
    <w:name w:val="Special Bold"/>
    <w:basedOn w:val="DefaultParagraphFont"/>
    <w:rsid w:val="00CA5A57"/>
    <w:rPr>
      <w:b/>
      <w:spacing w:val="0"/>
    </w:rPr>
  </w:style>
  <w:style w:type="paragraph" w:customStyle="1" w:styleId="SuperHeading">
    <w:name w:val="SuperHeading"/>
    <w:basedOn w:val="Normal"/>
    <w:rsid w:val="00CA5A57"/>
    <w:pPr>
      <w:spacing w:before="240" w:after="120"/>
      <w:outlineLvl w:val="0"/>
    </w:pPr>
    <w:rPr>
      <w:rFonts w:ascii="Times New Roman" w:hAnsi="Times New Roman"/>
      <w:b/>
      <w:sz w:val="32"/>
    </w:rPr>
  </w:style>
  <w:style w:type="paragraph" w:customStyle="1" w:styleId="AllowPageBreak">
    <w:name w:val="AllowPageBreak"/>
    <w:rsid w:val="00CA5A5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A5A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5A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5A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5A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5A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5A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5A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5A57"/>
    <w:rPr>
      <w:rFonts w:ascii="Courier New" w:eastAsia="Times New Roman" w:hAnsi="Courier New" w:cs="Times New Roman"/>
      <w:i/>
      <w:szCs w:val="20"/>
      <w:lang w:eastAsia="en-US"/>
    </w:rPr>
  </w:style>
  <w:style w:type="paragraph" w:customStyle="1" w:styleId="HeadingBase">
    <w:name w:val="Heading Base"/>
    <w:rsid w:val="00CA5A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5A57"/>
    <w:pPr>
      <w:tabs>
        <w:tab w:val="right" w:leader="dot" w:pos="9072"/>
      </w:tabs>
      <w:ind w:left="567"/>
    </w:pPr>
    <w:rPr>
      <w:szCs w:val="22"/>
    </w:rPr>
  </w:style>
  <w:style w:type="paragraph" w:customStyle="1" w:styleId="TOCBase">
    <w:name w:val="TOC Base"/>
    <w:rsid w:val="00CA5A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5A57"/>
    <w:pPr>
      <w:tabs>
        <w:tab w:val="right" w:leader="dot" w:pos="9072"/>
      </w:tabs>
      <w:spacing w:before="40" w:after="40"/>
      <w:ind w:left="284"/>
    </w:pPr>
    <w:rPr>
      <w:rFonts w:ascii="Times New Roman" w:hAnsi="Times New Roman"/>
    </w:rPr>
  </w:style>
  <w:style w:type="paragraph" w:styleId="TOC1">
    <w:name w:val="toc 1"/>
    <w:basedOn w:val="TOCBase"/>
    <w:next w:val="Normal"/>
    <w:rsid w:val="00CA5A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5A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5A57"/>
    <w:rPr>
      <w:rFonts w:ascii="Times New Roman" w:eastAsia="Times New Roman" w:hAnsi="Times New Roman" w:cs="Times New Roman"/>
      <w:sz w:val="16"/>
      <w:lang w:eastAsia="en-US"/>
    </w:rPr>
  </w:style>
  <w:style w:type="paragraph" w:styleId="Title">
    <w:name w:val="Title"/>
    <w:basedOn w:val="HeadingBase"/>
    <w:link w:val="TitleChar"/>
    <w:qFormat/>
    <w:rsid w:val="00CA5A57"/>
    <w:pPr>
      <w:spacing w:before="5040"/>
      <w:jc w:val="center"/>
    </w:pPr>
    <w:rPr>
      <w:sz w:val="48"/>
      <w:szCs w:val="72"/>
      <w:lang w:val="en-US"/>
    </w:rPr>
  </w:style>
  <w:style w:type="character" w:customStyle="1" w:styleId="TitleChar">
    <w:name w:val="Title Char"/>
    <w:basedOn w:val="DefaultParagraphFont"/>
    <w:link w:val="Title"/>
    <w:rsid w:val="00CA5A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5A57"/>
    <w:pPr>
      <w:tabs>
        <w:tab w:val="left" w:pos="3600"/>
        <w:tab w:val="left" w:pos="3958"/>
      </w:tabs>
    </w:pPr>
  </w:style>
  <w:style w:type="paragraph" w:styleId="List">
    <w:name w:val="List"/>
    <w:basedOn w:val="BodyText"/>
    <w:next w:val="BodyText"/>
    <w:rsid w:val="00CA5A57"/>
    <w:pPr>
      <w:tabs>
        <w:tab w:val="left" w:pos="340"/>
      </w:tabs>
      <w:spacing w:before="60" w:after="60"/>
      <w:ind w:left="340" w:hanging="340"/>
    </w:pPr>
  </w:style>
  <w:style w:type="paragraph" w:styleId="ListBullet">
    <w:name w:val="List Bullet"/>
    <w:basedOn w:val="List"/>
    <w:rsid w:val="00CA5A57"/>
    <w:pPr>
      <w:numPr>
        <w:numId w:val="10"/>
      </w:numPr>
      <w:tabs>
        <w:tab w:val="clear" w:pos="340"/>
      </w:tabs>
      <w:spacing w:before="40" w:after="40"/>
    </w:pPr>
  </w:style>
  <w:style w:type="paragraph" w:customStyle="1" w:styleId="Note">
    <w:name w:val="Note"/>
    <w:basedOn w:val="BodyText"/>
    <w:rsid w:val="00CA5A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5A57"/>
    <w:pPr>
      <w:framePr w:wrap="auto" w:hAnchor="text" w:y="6049"/>
    </w:pPr>
    <w:rPr>
      <w:color w:val="000000"/>
      <w:sz w:val="40"/>
    </w:rPr>
  </w:style>
  <w:style w:type="paragraph" w:customStyle="1" w:styleId="TOCTitle">
    <w:name w:val="TOCTitle"/>
    <w:basedOn w:val="Heading1"/>
    <w:rsid w:val="00CA5A57"/>
    <w:pPr>
      <w:spacing w:after="240"/>
      <w:jc w:val="center"/>
      <w:outlineLvl w:val="9"/>
    </w:pPr>
    <w:rPr>
      <w:caps/>
    </w:rPr>
  </w:style>
  <w:style w:type="paragraph" w:customStyle="1" w:styleId="Version">
    <w:name w:val="Version"/>
    <w:rsid w:val="00CA5A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5A57"/>
    <w:pPr>
      <w:numPr>
        <w:numId w:val="11"/>
      </w:numPr>
      <w:tabs>
        <w:tab w:val="clear" w:pos="680"/>
      </w:tabs>
    </w:pPr>
  </w:style>
  <w:style w:type="paragraph" w:styleId="Index1">
    <w:name w:val="index 1"/>
    <w:basedOn w:val="Normal"/>
    <w:next w:val="Normal"/>
    <w:semiHidden/>
    <w:rsid w:val="00CA5A57"/>
    <w:pPr>
      <w:keepNext w:val="0"/>
      <w:tabs>
        <w:tab w:val="right" w:pos="4176"/>
      </w:tabs>
      <w:ind w:left="198" w:hanging="198"/>
    </w:pPr>
    <w:rPr>
      <w:rFonts w:ascii="Garamond" w:hAnsi="Garamond"/>
    </w:rPr>
  </w:style>
  <w:style w:type="paragraph" w:styleId="IndexHeading">
    <w:name w:val="index heading"/>
    <w:basedOn w:val="Normal"/>
    <w:next w:val="Index1"/>
    <w:semiHidden/>
    <w:rsid w:val="00CA5A57"/>
    <w:pPr>
      <w:spacing w:before="120" w:after="120"/>
    </w:pPr>
    <w:rPr>
      <w:rFonts w:ascii="Arial" w:hAnsi="Arial"/>
      <w:b/>
      <w:color w:val="918585"/>
      <w:sz w:val="24"/>
    </w:rPr>
  </w:style>
  <w:style w:type="paragraph" w:styleId="Header">
    <w:name w:val="header"/>
    <w:basedOn w:val="Normal"/>
    <w:link w:val="HeaderChar"/>
    <w:rsid w:val="00CA5A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5A57"/>
    <w:rPr>
      <w:rFonts w:ascii="Times New Roman" w:eastAsia="Times New Roman" w:hAnsi="Times New Roman" w:cs="Times New Roman"/>
      <w:sz w:val="16"/>
      <w:szCs w:val="20"/>
      <w:lang w:val="en-GB" w:eastAsia="en-US"/>
    </w:rPr>
  </w:style>
  <w:style w:type="paragraph" w:customStyle="1" w:styleId="Chapter">
    <w:name w:val="Chapter"/>
    <w:basedOn w:val="Normal"/>
    <w:rsid w:val="00CA5A57"/>
    <w:pPr>
      <w:spacing w:before="240"/>
    </w:pPr>
    <w:rPr>
      <w:rFonts w:ascii="Times New Roman" w:hAnsi="Times New Roman"/>
      <w:smallCaps/>
      <w:spacing w:val="80"/>
      <w:sz w:val="28"/>
    </w:rPr>
  </w:style>
  <w:style w:type="paragraph" w:customStyle="1" w:styleId="InChapter">
    <w:name w:val="InChapter"/>
    <w:basedOn w:val="Heading3"/>
    <w:rsid w:val="00CA5A57"/>
    <w:pPr>
      <w:spacing w:after="240"/>
      <w:outlineLvl w:val="9"/>
    </w:pPr>
    <w:rPr>
      <w:noProof/>
    </w:rPr>
  </w:style>
  <w:style w:type="paragraph" w:styleId="Index2">
    <w:name w:val="index 2"/>
    <w:basedOn w:val="Normal"/>
    <w:next w:val="Normal"/>
    <w:semiHidden/>
    <w:rsid w:val="00CA5A57"/>
    <w:pPr>
      <w:tabs>
        <w:tab w:val="right" w:pos="4176"/>
      </w:tabs>
      <w:ind w:left="568" w:hanging="284"/>
    </w:pPr>
    <w:rPr>
      <w:rFonts w:ascii="Garamond" w:hAnsi="Garamond"/>
    </w:rPr>
  </w:style>
  <w:style w:type="paragraph" w:customStyle="1" w:styleId="Byline">
    <w:name w:val="Byline"/>
    <w:rsid w:val="00CA5A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5A57"/>
    <w:pPr>
      <w:tabs>
        <w:tab w:val="clear" w:pos="3600"/>
        <w:tab w:val="clear" w:pos="3958"/>
      </w:tabs>
      <w:jc w:val="right"/>
    </w:pPr>
  </w:style>
  <w:style w:type="character" w:styleId="Emphasis">
    <w:name w:val="Emphasis"/>
    <w:basedOn w:val="DefaultParagraphFont"/>
    <w:qFormat/>
    <w:rsid w:val="00CA5A57"/>
    <w:rPr>
      <w:i/>
    </w:rPr>
  </w:style>
  <w:style w:type="paragraph" w:styleId="Caption">
    <w:name w:val="caption"/>
    <w:basedOn w:val="BodyText"/>
    <w:next w:val="Normal"/>
    <w:qFormat/>
    <w:rsid w:val="00CA5A57"/>
    <w:pPr>
      <w:framePr w:w="2268" w:hSpace="181" w:vSpace="181" w:wrap="around" w:vAnchor="text" w:hAnchor="page" w:x="1135" w:y="285" w:anchorLock="1"/>
    </w:pPr>
    <w:rPr>
      <w:i/>
    </w:rPr>
  </w:style>
  <w:style w:type="paragraph" w:customStyle="1" w:styleId="MiniTOCTitle">
    <w:name w:val="MiniTOCTitle"/>
    <w:basedOn w:val="Heading4"/>
    <w:rsid w:val="00CA5A57"/>
    <w:pPr>
      <w:spacing w:before="240"/>
      <w:outlineLvl w:val="9"/>
    </w:pPr>
    <w:rPr>
      <w:noProof/>
      <w:sz w:val="24"/>
    </w:rPr>
  </w:style>
  <w:style w:type="paragraph" w:customStyle="1" w:styleId="MiniTOCItem">
    <w:name w:val="MiniTOCItem"/>
    <w:basedOn w:val="ListBullet"/>
    <w:rsid w:val="00CA5A57"/>
    <w:pPr>
      <w:numPr>
        <w:numId w:val="0"/>
      </w:numPr>
      <w:tabs>
        <w:tab w:val="right" w:leader="dot" w:pos="6521"/>
      </w:tabs>
      <w:spacing w:before="0" w:after="0"/>
    </w:pPr>
  </w:style>
  <w:style w:type="paragraph" w:customStyle="1" w:styleId="TOFTitle">
    <w:name w:val="TOFTitle"/>
    <w:basedOn w:val="TOCTitle"/>
    <w:rsid w:val="00CA5A57"/>
  </w:style>
  <w:style w:type="paragraph" w:styleId="TableofFigures">
    <w:name w:val="table of figures"/>
    <w:basedOn w:val="Normal"/>
    <w:next w:val="Normal"/>
    <w:semiHidden/>
    <w:rsid w:val="00CA5A57"/>
    <w:pPr>
      <w:tabs>
        <w:tab w:val="right" w:leader="dot" w:pos="9072"/>
      </w:tabs>
      <w:ind w:left="970" w:hanging="403"/>
    </w:pPr>
    <w:rPr>
      <w:rFonts w:ascii="Times New Roman" w:hAnsi="Times New Roman"/>
      <w:b/>
    </w:rPr>
  </w:style>
  <w:style w:type="paragraph" w:styleId="ListNumber">
    <w:name w:val="List Number"/>
    <w:basedOn w:val="List"/>
    <w:rsid w:val="00CA5A57"/>
    <w:pPr>
      <w:numPr>
        <w:numId w:val="13"/>
      </w:numPr>
      <w:tabs>
        <w:tab w:val="clear" w:pos="340"/>
      </w:tabs>
    </w:pPr>
  </w:style>
  <w:style w:type="character" w:customStyle="1" w:styleId="WingdingSymbols">
    <w:name w:val="Wingding Symbols"/>
    <w:rsid w:val="00CA5A57"/>
    <w:rPr>
      <w:rFonts w:ascii="Wingdings" w:hAnsi="Wingdings"/>
    </w:rPr>
  </w:style>
  <w:style w:type="paragraph" w:customStyle="1" w:styleId="TableHeading">
    <w:name w:val="Table Heading"/>
    <w:basedOn w:val="HeadingBase"/>
    <w:rsid w:val="00CA5A57"/>
    <w:pPr>
      <w:keepLines/>
      <w:pBdr>
        <w:bottom w:val="single" w:sz="6" w:space="1" w:color="918585"/>
      </w:pBdr>
      <w:spacing w:before="240"/>
    </w:pPr>
  </w:style>
  <w:style w:type="character" w:customStyle="1" w:styleId="HotSpot">
    <w:name w:val="HotSpot"/>
    <w:rsid w:val="00CA5A57"/>
    <w:rPr>
      <w:color w:val="0033CC"/>
      <w:u w:val="none"/>
    </w:rPr>
  </w:style>
  <w:style w:type="paragraph" w:customStyle="1" w:styleId="BodyTextRight">
    <w:name w:val="Body Text Right"/>
    <w:basedOn w:val="BodyText"/>
    <w:rsid w:val="00CA5A57"/>
    <w:pPr>
      <w:spacing w:before="0" w:after="0"/>
      <w:jc w:val="right"/>
    </w:pPr>
  </w:style>
  <w:style w:type="paragraph" w:styleId="Index3">
    <w:name w:val="index 3"/>
    <w:basedOn w:val="ListNumber2"/>
    <w:next w:val="Normal"/>
    <w:semiHidden/>
    <w:rsid w:val="00CA5A57"/>
    <w:pPr>
      <w:numPr>
        <w:numId w:val="0"/>
      </w:numPr>
      <w:tabs>
        <w:tab w:val="right" w:leader="dot" w:pos="4176"/>
      </w:tabs>
    </w:pPr>
  </w:style>
  <w:style w:type="paragraph" w:styleId="ListNumber2">
    <w:name w:val="List Number 2"/>
    <w:basedOn w:val="List2"/>
    <w:rsid w:val="00CA5A57"/>
    <w:pPr>
      <w:numPr>
        <w:numId w:val="8"/>
      </w:numPr>
      <w:tabs>
        <w:tab w:val="clear" w:pos="1060"/>
      </w:tabs>
    </w:pPr>
  </w:style>
  <w:style w:type="paragraph" w:customStyle="1" w:styleId="MarginNote">
    <w:name w:val="Margin Note"/>
    <w:basedOn w:val="BodyText"/>
    <w:rsid w:val="00CA5A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5A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5A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5A57"/>
    <w:rPr>
      <w:sz w:val="32"/>
    </w:rPr>
  </w:style>
  <w:style w:type="paragraph" w:customStyle="1" w:styleId="HeadingProcedure">
    <w:name w:val="Heading Procedure"/>
    <w:basedOn w:val="HeadingBase"/>
    <w:next w:val="Normal"/>
    <w:rsid w:val="00CA5A57"/>
    <w:pPr>
      <w:tabs>
        <w:tab w:val="left" w:pos="0"/>
      </w:tabs>
      <w:spacing w:before="120" w:after="60"/>
    </w:pPr>
    <w:rPr>
      <w:i/>
      <w:color w:val="918585"/>
      <w:sz w:val="22"/>
    </w:rPr>
  </w:style>
  <w:style w:type="paragraph" w:customStyle="1" w:styleId="TableBodyText">
    <w:name w:val="Table Body Text"/>
    <w:basedOn w:val="BodyText"/>
    <w:rsid w:val="00CA5A57"/>
    <w:pPr>
      <w:spacing w:before="60" w:after="60"/>
    </w:pPr>
  </w:style>
  <w:style w:type="paragraph" w:styleId="ListContinue">
    <w:name w:val="List Continue"/>
    <w:basedOn w:val="List"/>
    <w:rsid w:val="00CA5A57"/>
    <w:pPr>
      <w:ind w:firstLine="0"/>
    </w:pPr>
  </w:style>
  <w:style w:type="paragraph" w:customStyle="1" w:styleId="ListNote">
    <w:name w:val="List Note"/>
    <w:basedOn w:val="List"/>
    <w:rsid w:val="00CA5A57"/>
    <w:pPr>
      <w:pBdr>
        <w:top w:val="single" w:sz="6" w:space="2" w:color="918585"/>
        <w:bottom w:val="single" w:sz="6" w:space="2" w:color="918585"/>
      </w:pBdr>
      <w:tabs>
        <w:tab w:val="left" w:pos="1021"/>
      </w:tabs>
      <w:ind w:firstLine="0"/>
    </w:pPr>
  </w:style>
  <w:style w:type="paragraph" w:customStyle="1" w:styleId="Warning">
    <w:name w:val="Warning"/>
    <w:basedOn w:val="BodyText"/>
    <w:rsid w:val="00CA5A57"/>
    <w:pPr>
      <w:shd w:val="clear" w:color="auto" w:fill="D9D9D9"/>
      <w:tabs>
        <w:tab w:val="left" w:pos="992"/>
      </w:tabs>
      <w:ind w:left="119" w:right="119"/>
    </w:pPr>
    <w:rPr>
      <w:sz w:val="20"/>
    </w:rPr>
  </w:style>
  <w:style w:type="paragraph" w:customStyle="1" w:styleId="MarginIcons">
    <w:name w:val="Margin Icons"/>
    <w:basedOn w:val="BodyText"/>
    <w:rsid w:val="00CA5A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5A57"/>
    <w:rPr>
      <w:rFonts w:ascii="Courier New" w:hAnsi="Courier New"/>
    </w:rPr>
  </w:style>
  <w:style w:type="paragraph" w:customStyle="1" w:styleId="NoteBullet">
    <w:name w:val="Note Bullet"/>
    <w:basedOn w:val="Note"/>
    <w:rsid w:val="00CA5A57"/>
    <w:pPr>
      <w:tabs>
        <w:tab w:val="clear" w:pos="680"/>
      </w:tabs>
      <w:spacing w:before="60" w:after="60"/>
    </w:pPr>
  </w:style>
  <w:style w:type="paragraph" w:customStyle="1" w:styleId="SubHeading2">
    <w:name w:val="SubHeading2"/>
    <w:basedOn w:val="HeadingBase"/>
    <w:rsid w:val="00CA5A57"/>
    <w:pPr>
      <w:spacing w:before="240" w:after="60"/>
    </w:pPr>
    <w:rPr>
      <w:sz w:val="20"/>
    </w:rPr>
  </w:style>
  <w:style w:type="paragraph" w:customStyle="1" w:styleId="SubHeading1">
    <w:name w:val="SubHeading1"/>
    <w:basedOn w:val="HeadingBase"/>
    <w:rsid w:val="00CA5A57"/>
    <w:pPr>
      <w:spacing w:before="240" w:after="60"/>
    </w:pPr>
    <w:rPr>
      <w:color w:val="918585"/>
      <w:sz w:val="22"/>
    </w:rPr>
  </w:style>
  <w:style w:type="paragraph" w:customStyle="1" w:styleId="SideHeading">
    <w:name w:val="Side Heading"/>
    <w:basedOn w:val="HeadingBase"/>
    <w:rsid w:val="00CA5A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5A57"/>
    <w:pPr>
      <w:numPr>
        <w:numId w:val="9"/>
      </w:numPr>
    </w:pPr>
  </w:style>
  <w:style w:type="paragraph" w:styleId="PlainText">
    <w:name w:val="Plain Text"/>
    <w:basedOn w:val="Normal"/>
    <w:link w:val="PlainTextChar"/>
    <w:rsid w:val="00CA5A57"/>
    <w:rPr>
      <w:sz w:val="20"/>
    </w:rPr>
  </w:style>
  <w:style w:type="character" w:customStyle="1" w:styleId="PlainTextChar">
    <w:name w:val="Plain Text Char"/>
    <w:basedOn w:val="DefaultParagraphFont"/>
    <w:link w:val="PlainText"/>
    <w:rsid w:val="00CA5A57"/>
    <w:rPr>
      <w:rFonts w:ascii="Courier New" w:eastAsia="Times New Roman" w:hAnsi="Courier New" w:cs="Times New Roman"/>
      <w:sz w:val="20"/>
      <w:szCs w:val="20"/>
      <w:lang w:eastAsia="en-US"/>
    </w:rPr>
  </w:style>
  <w:style w:type="character" w:customStyle="1" w:styleId="MenuOption">
    <w:name w:val="Menu Option"/>
    <w:basedOn w:val="DefaultParagraphFont"/>
    <w:rsid w:val="00CA5A57"/>
    <w:rPr>
      <w:b/>
      <w:smallCaps/>
    </w:rPr>
  </w:style>
  <w:style w:type="paragraph" w:customStyle="1" w:styleId="TableListNumber">
    <w:name w:val="Table List Number"/>
    <w:basedOn w:val="ListNumber"/>
    <w:rsid w:val="00CA5A57"/>
    <w:pPr>
      <w:numPr>
        <w:numId w:val="0"/>
      </w:numPr>
    </w:pPr>
  </w:style>
  <w:style w:type="paragraph" w:styleId="TOC4">
    <w:name w:val="toc 4"/>
    <w:basedOn w:val="TOCBase"/>
    <w:next w:val="Normal"/>
    <w:semiHidden/>
    <w:rsid w:val="00CA5A57"/>
    <w:pPr>
      <w:tabs>
        <w:tab w:val="right" w:leader="dot" w:pos="9071"/>
      </w:tabs>
      <w:ind w:left="1701"/>
    </w:pPr>
  </w:style>
  <w:style w:type="paragraph" w:customStyle="1" w:styleId="ListAlpha">
    <w:name w:val="List Alpha"/>
    <w:basedOn w:val="List"/>
    <w:rsid w:val="00CA5A57"/>
    <w:pPr>
      <w:numPr>
        <w:numId w:val="7"/>
      </w:numPr>
    </w:pPr>
  </w:style>
  <w:style w:type="paragraph" w:customStyle="1" w:styleId="ListAlpha2">
    <w:name w:val="List Alpha 2"/>
    <w:basedOn w:val="List2"/>
    <w:rsid w:val="00CA5A57"/>
    <w:pPr>
      <w:numPr>
        <w:numId w:val="6"/>
      </w:numPr>
    </w:pPr>
  </w:style>
  <w:style w:type="paragraph" w:styleId="List2">
    <w:name w:val="List 2"/>
    <w:basedOn w:val="BodyText"/>
    <w:rsid w:val="00CA5A57"/>
    <w:pPr>
      <w:tabs>
        <w:tab w:val="left" w:pos="680"/>
      </w:tabs>
      <w:spacing w:before="60" w:after="60"/>
      <w:ind w:left="680" w:hanging="340"/>
    </w:pPr>
  </w:style>
  <w:style w:type="paragraph" w:styleId="List3">
    <w:name w:val="List 3"/>
    <w:basedOn w:val="BodyText"/>
    <w:rsid w:val="00CA5A57"/>
    <w:pPr>
      <w:tabs>
        <w:tab w:val="left" w:pos="1021"/>
      </w:tabs>
      <w:spacing w:before="60" w:after="60"/>
      <w:ind w:left="1020" w:hanging="340"/>
    </w:pPr>
  </w:style>
  <w:style w:type="paragraph" w:styleId="List4">
    <w:name w:val="List 4"/>
    <w:basedOn w:val="BodyText"/>
    <w:rsid w:val="00CA5A57"/>
    <w:pPr>
      <w:tabs>
        <w:tab w:val="left" w:pos="1361"/>
      </w:tabs>
      <w:spacing w:before="60" w:after="60"/>
      <w:ind w:left="1361" w:hanging="340"/>
    </w:pPr>
  </w:style>
  <w:style w:type="paragraph" w:styleId="List5">
    <w:name w:val="List 5"/>
    <w:basedOn w:val="BodyText"/>
    <w:rsid w:val="00CA5A57"/>
    <w:pPr>
      <w:tabs>
        <w:tab w:val="left" w:pos="1701"/>
      </w:tabs>
      <w:spacing w:before="60" w:after="60"/>
      <w:ind w:left="1701" w:hanging="340"/>
    </w:pPr>
  </w:style>
  <w:style w:type="paragraph" w:styleId="ListBullet3">
    <w:name w:val="List Bullet 3"/>
    <w:basedOn w:val="List3"/>
    <w:rsid w:val="00CA5A57"/>
    <w:pPr>
      <w:numPr>
        <w:numId w:val="12"/>
      </w:numPr>
      <w:tabs>
        <w:tab w:val="clear" w:pos="1021"/>
      </w:tabs>
      <w:ind w:left="1037" w:hanging="357"/>
    </w:pPr>
  </w:style>
  <w:style w:type="paragraph" w:styleId="ListBullet4">
    <w:name w:val="List Bullet 4"/>
    <w:basedOn w:val="List4"/>
    <w:rsid w:val="00CA5A57"/>
    <w:pPr>
      <w:numPr>
        <w:numId w:val="1"/>
      </w:numPr>
      <w:tabs>
        <w:tab w:val="clear" w:pos="1361"/>
      </w:tabs>
    </w:pPr>
  </w:style>
  <w:style w:type="paragraph" w:styleId="ListBullet5">
    <w:name w:val="List Bullet 5"/>
    <w:basedOn w:val="List5"/>
    <w:rsid w:val="00CA5A57"/>
    <w:pPr>
      <w:numPr>
        <w:numId w:val="2"/>
      </w:numPr>
    </w:pPr>
  </w:style>
  <w:style w:type="paragraph" w:styleId="ListContinue2">
    <w:name w:val="List Continue 2"/>
    <w:basedOn w:val="List2"/>
    <w:rsid w:val="00CA5A57"/>
    <w:pPr>
      <w:ind w:firstLine="0"/>
    </w:pPr>
  </w:style>
  <w:style w:type="paragraph" w:styleId="ListContinue3">
    <w:name w:val="List Continue 3"/>
    <w:basedOn w:val="List3"/>
    <w:rsid w:val="00CA5A57"/>
    <w:pPr>
      <w:ind w:left="1021" w:firstLine="0"/>
    </w:pPr>
  </w:style>
  <w:style w:type="paragraph" w:styleId="ListContinue4">
    <w:name w:val="List Continue 4"/>
    <w:basedOn w:val="List4"/>
    <w:rsid w:val="00CA5A57"/>
    <w:pPr>
      <w:ind w:firstLine="0"/>
    </w:pPr>
  </w:style>
  <w:style w:type="paragraph" w:styleId="ListContinue5">
    <w:name w:val="List Continue 5"/>
    <w:basedOn w:val="List5"/>
    <w:rsid w:val="00CA5A57"/>
    <w:pPr>
      <w:ind w:firstLine="0"/>
    </w:pPr>
  </w:style>
  <w:style w:type="paragraph" w:styleId="ListNumber3">
    <w:name w:val="List Number 3"/>
    <w:basedOn w:val="List3"/>
    <w:rsid w:val="00CA5A57"/>
    <w:pPr>
      <w:numPr>
        <w:numId w:val="3"/>
      </w:numPr>
    </w:pPr>
  </w:style>
  <w:style w:type="paragraph" w:styleId="ListNumber4">
    <w:name w:val="List Number 4"/>
    <w:basedOn w:val="List4"/>
    <w:rsid w:val="00CA5A57"/>
    <w:pPr>
      <w:numPr>
        <w:numId w:val="4"/>
      </w:numPr>
    </w:pPr>
  </w:style>
  <w:style w:type="paragraph" w:styleId="ListNumber5">
    <w:name w:val="List Number 5"/>
    <w:basedOn w:val="List5"/>
    <w:rsid w:val="00CA5A57"/>
    <w:pPr>
      <w:numPr>
        <w:numId w:val="5"/>
      </w:numPr>
    </w:pPr>
  </w:style>
  <w:style w:type="paragraph" w:styleId="BlockText">
    <w:name w:val="Block Text"/>
    <w:basedOn w:val="Normal"/>
    <w:rsid w:val="00CA5A57"/>
    <w:pPr>
      <w:spacing w:after="120"/>
      <w:ind w:left="1440" w:right="1440"/>
    </w:pPr>
  </w:style>
  <w:style w:type="character" w:customStyle="1" w:styleId="Subscript">
    <w:name w:val="Subscript"/>
    <w:basedOn w:val="DefaultParagraphFont"/>
    <w:rsid w:val="00CA5A57"/>
    <w:rPr>
      <w:sz w:val="16"/>
      <w:vertAlign w:val="subscript"/>
    </w:rPr>
  </w:style>
  <w:style w:type="character" w:customStyle="1" w:styleId="Superscript">
    <w:name w:val="Superscript"/>
    <w:basedOn w:val="DefaultParagraphFont"/>
    <w:rsid w:val="00CA5A57"/>
    <w:rPr>
      <w:sz w:val="16"/>
      <w:vertAlign w:val="superscript"/>
    </w:rPr>
  </w:style>
  <w:style w:type="character" w:customStyle="1" w:styleId="Symbols">
    <w:name w:val="Symbols"/>
    <w:basedOn w:val="DefaultParagraphFont"/>
    <w:rsid w:val="00CA5A57"/>
    <w:rPr>
      <w:rFonts w:ascii="Symbol" w:hAnsi="Symbol"/>
    </w:rPr>
  </w:style>
  <w:style w:type="character" w:customStyle="1" w:styleId="MenuOptions">
    <w:name w:val="Menu Options"/>
    <w:basedOn w:val="DefaultParagraphFont"/>
    <w:rsid w:val="00CA5A57"/>
    <w:rPr>
      <w:rFonts w:ascii="Arial Narrow" w:hAnsi="Arial Narrow"/>
      <w:smallCaps/>
    </w:rPr>
  </w:style>
  <w:style w:type="character" w:customStyle="1" w:styleId="Buttons">
    <w:name w:val="Buttons"/>
    <w:basedOn w:val="DefaultParagraphFont"/>
    <w:rsid w:val="00CA5A57"/>
    <w:rPr>
      <w:b/>
    </w:rPr>
  </w:style>
  <w:style w:type="character" w:customStyle="1" w:styleId="Underlined">
    <w:name w:val="Underlined"/>
    <w:basedOn w:val="DefaultParagraphFont"/>
    <w:rsid w:val="00CA5A57"/>
    <w:rPr>
      <w:u w:val="single"/>
    </w:rPr>
  </w:style>
  <w:style w:type="paragraph" w:customStyle="1" w:styleId="TableBodyTextRight">
    <w:name w:val="Table Body Text Right"/>
    <w:basedOn w:val="TableBodyText"/>
    <w:rsid w:val="00CA5A57"/>
    <w:pPr>
      <w:widowControl w:val="0"/>
      <w:autoSpaceDE w:val="0"/>
      <w:autoSpaceDN w:val="0"/>
      <w:adjustRightInd w:val="0"/>
      <w:jc w:val="right"/>
    </w:pPr>
    <w:rPr>
      <w:rFonts w:cs="Arial"/>
      <w:szCs w:val="18"/>
    </w:rPr>
  </w:style>
  <w:style w:type="paragraph" w:customStyle="1" w:styleId="CopyrightText">
    <w:name w:val="Copyright Text"/>
    <w:basedOn w:val="BodyText"/>
    <w:rsid w:val="00CA5A57"/>
    <w:rPr>
      <w:sz w:val="18"/>
    </w:rPr>
  </w:style>
  <w:style w:type="paragraph" w:customStyle="1" w:styleId="BodySmallRight">
    <w:name w:val="Body Small Right"/>
    <w:basedOn w:val="BodyTextRight"/>
    <w:rsid w:val="00CA5A57"/>
    <w:rPr>
      <w:sz w:val="18"/>
      <w:szCs w:val="18"/>
    </w:rPr>
  </w:style>
  <w:style w:type="paragraph" w:customStyle="1" w:styleId="MarginEdition">
    <w:name w:val="Margin Edition"/>
    <w:basedOn w:val="MarginNote"/>
    <w:rsid w:val="00CA5A57"/>
    <w:pPr>
      <w:spacing w:before="0" w:after="0"/>
    </w:pPr>
    <w:rPr>
      <w:rFonts w:ascii="Times New Roman" w:hAnsi="Times New Roman"/>
      <w:color w:val="999999"/>
    </w:rPr>
  </w:style>
  <w:style w:type="paragraph" w:customStyle="1" w:styleId="Spacer">
    <w:name w:val="Spacer"/>
    <w:basedOn w:val="Normal"/>
    <w:rsid w:val="00CA5A57"/>
    <w:rPr>
      <w:sz w:val="2"/>
      <w:szCs w:val="2"/>
    </w:rPr>
  </w:style>
  <w:style w:type="character" w:customStyle="1" w:styleId="Small">
    <w:name w:val="Small"/>
    <w:basedOn w:val="DefaultParagraphFont"/>
    <w:rsid w:val="00CA5A57"/>
    <w:rPr>
      <w:sz w:val="16"/>
    </w:rPr>
  </w:style>
  <w:style w:type="paragraph" w:customStyle="1" w:styleId="WideTable">
    <w:name w:val="Wide Table"/>
    <w:basedOn w:val="Normal"/>
    <w:rsid w:val="00CA5A57"/>
    <w:pPr>
      <w:ind w:left="-1418"/>
    </w:pPr>
    <w:rPr>
      <w:sz w:val="2"/>
      <w:szCs w:val="2"/>
    </w:rPr>
  </w:style>
  <w:style w:type="character" w:styleId="PageNumber">
    <w:name w:val="page number"/>
    <w:basedOn w:val="DefaultParagraphFont"/>
    <w:rsid w:val="00CA5A57"/>
  </w:style>
  <w:style w:type="paragraph" w:styleId="Quote">
    <w:name w:val="Quote"/>
    <w:basedOn w:val="Heading1"/>
    <w:link w:val="QuoteChar"/>
    <w:qFormat/>
    <w:rsid w:val="00CA5A57"/>
    <w:rPr>
      <w:b w:val="0"/>
      <w:sz w:val="72"/>
      <w:szCs w:val="72"/>
      <w:lang w:val="en-NZ"/>
    </w:rPr>
  </w:style>
  <w:style w:type="character" w:customStyle="1" w:styleId="QuoteChar">
    <w:name w:val="Quote Char"/>
    <w:basedOn w:val="DefaultParagraphFont"/>
    <w:link w:val="Quote"/>
    <w:rsid w:val="00CA5A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5A57"/>
    <w:pPr>
      <w:pageBreakBefore/>
    </w:pPr>
  </w:style>
  <w:style w:type="paragraph" w:customStyle="1" w:styleId="Border">
    <w:name w:val="Border"/>
    <w:basedOn w:val="Normal"/>
    <w:qFormat/>
    <w:rsid w:val="00CA5A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5A57"/>
    <w:rPr>
      <w:b/>
      <w:bCs/>
      <w:i/>
      <w:iCs/>
      <w:color w:val="auto"/>
    </w:rPr>
  </w:style>
  <w:style w:type="paragraph" w:styleId="IntenseQuote">
    <w:name w:val="Intense Quote"/>
    <w:basedOn w:val="Normal"/>
    <w:next w:val="Normal"/>
    <w:link w:val="IntenseQuoteChar"/>
    <w:uiPriority w:val="30"/>
    <w:qFormat/>
    <w:rsid w:val="00CA5A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5A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5A57"/>
    <w:rPr>
      <w:smallCaps/>
      <w:color w:val="auto"/>
      <w:u w:val="single"/>
    </w:rPr>
  </w:style>
  <w:style w:type="character" w:styleId="IntenseReference">
    <w:name w:val="Intense Reference"/>
    <w:basedOn w:val="DefaultParagraphFont"/>
    <w:uiPriority w:val="32"/>
    <w:qFormat/>
    <w:rsid w:val="00CA5A57"/>
    <w:rPr>
      <w:b/>
      <w:bCs/>
      <w:smallCaps/>
      <w:color w:val="auto"/>
      <w:spacing w:val="5"/>
      <w:u w:val="single"/>
    </w:rPr>
  </w:style>
  <w:style w:type="paragraph" w:customStyle="1" w:styleId="2ColumnHeading">
    <w:name w:val="2Column Heading"/>
    <w:basedOn w:val="BodyText"/>
    <w:qFormat/>
    <w:rsid w:val="00CA5A57"/>
    <w:pPr>
      <w:spacing w:after="60"/>
      <w:ind w:left="-2268"/>
    </w:pPr>
    <w:rPr>
      <w:b/>
    </w:rPr>
  </w:style>
  <w:style w:type="paragraph" w:customStyle="1" w:styleId="Heading1TOC">
    <w:name w:val="Heading1 TOC"/>
    <w:basedOn w:val="Normal"/>
    <w:qFormat/>
    <w:rsid w:val="00CA5A57"/>
    <w:pPr>
      <w:spacing w:before="240" w:after="120"/>
    </w:pPr>
    <w:rPr>
      <w:rFonts w:ascii="Times New Roman" w:hAnsi="Times New Roman"/>
      <w:b/>
      <w:sz w:val="32"/>
    </w:rPr>
  </w:style>
  <w:style w:type="paragraph" w:customStyle="1" w:styleId="Heading2TOC">
    <w:name w:val="Heading2 TOC"/>
    <w:basedOn w:val="Normal"/>
    <w:qFormat/>
    <w:rsid w:val="00CA5A57"/>
    <w:pPr>
      <w:spacing w:before="240" w:after="60"/>
    </w:pPr>
    <w:rPr>
      <w:rFonts w:ascii="Times New Roman" w:hAnsi="Times New Roman"/>
      <w:b/>
      <w:sz w:val="28"/>
    </w:rPr>
  </w:style>
  <w:style w:type="character" w:customStyle="1" w:styleId="Underline">
    <w:name w:val="Underline"/>
    <w:basedOn w:val="DefaultParagraphFont"/>
    <w:qFormat/>
    <w:rsid w:val="00CA5A57"/>
    <w:rPr>
      <w:u w:val="single"/>
    </w:rPr>
  </w:style>
  <w:style w:type="character" w:customStyle="1" w:styleId="BoldandItalics">
    <w:name w:val="Bold and Italics"/>
    <w:qFormat/>
    <w:rsid w:val="00CA5A57"/>
    <w:rPr>
      <w:b/>
      <w:i/>
      <w:u w:val="none"/>
    </w:rPr>
  </w:style>
  <w:style w:type="paragraph" w:styleId="BalloonText">
    <w:name w:val="Balloon Text"/>
    <w:basedOn w:val="Normal"/>
    <w:link w:val="BalloonTextChar"/>
    <w:rsid w:val="00CA5A57"/>
    <w:rPr>
      <w:rFonts w:ascii="Tahoma" w:hAnsi="Tahoma" w:cs="Tahoma"/>
      <w:sz w:val="16"/>
      <w:szCs w:val="16"/>
    </w:rPr>
  </w:style>
  <w:style w:type="character" w:customStyle="1" w:styleId="BalloonTextChar">
    <w:name w:val="Balloon Text Char"/>
    <w:basedOn w:val="DefaultParagraphFont"/>
    <w:link w:val="BalloonText"/>
    <w:rsid w:val="00CA5A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5A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5A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5A57"/>
    <w:rPr>
      <w:b/>
      <w:color w:val="660033"/>
      <w:spacing w:val="0"/>
    </w:rPr>
  </w:style>
  <w:style w:type="paragraph" w:customStyle="1" w:styleId="Nameditemlist">
    <w:name w:val="Named item list"/>
    <w:basedOn w:val="BodyText"/>
    <w:qFormat/>
    <w:rsid w:val="00CA5A57"/>
    <w:pPr>
      <w:tabs>
        <w:tab w:val="left" w:pos="2835"/>
      </w:tabs>
      <w:ind w:left="2835" w:hanging="2835"/>
    </w:pPr>
  </w:style>
  <w:style w:type="paragraph" w:customStyle="1" w:styleId="BodyTextnopadding">
    <w:name w:val="Body Text no padding"/>
    <w:basedOn w:val="BodyText"/>
    <w:qFormat/>
    <w:rsid w:val="00CA5A57"/>
    <w:pPr>
      <w:spacing w:before="0" w:after="0"/>
    </w:pPr>
  </w:style>
  <w:style w:type="paragraph" w:customStyle="1" w:styleId="BodyTextBold">
    <w:name w:val="Body Text Bold"/>
    <w:basedOn w:val="BodyText"/>
    <w:qFormat/>
    <w:rsid w:val="00CA5A57"/>
    <w:rPr>
      <w:b/>
    </w:rPr>
  </w:style>
  <w:style w:type="character" w:styleId="Hyperlink">
    <w:name w:val="Hyperlink"/>
    <w:basedOn w:val="DefaultParagraphFont"/>
    <w:uiPriority w:val="99"/>
    <w:unhideWhenUsed/>
    <w:rsid w:val="00F102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492</Words>
  <Characters>3007</Characters>
  <Application>Microsoft Office Word</Application>
  <DocSecurity>0</DocSecurity>
  <Lines>136</Lines>
  <Paragraphs>76</Paragraphs>
  <ScaleCrop>false</ScaleCrop>
  <Company>Author-it Software Corporation Ltd.</Company>
  <LinksUpToDate>false</LinksUpToDate>
  <CharactersWithSpaces>3423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DEFWDV016 Perform underwater rigging work</dc:title>
  <dc:subject>Approved</dc:subject>
  <dc:creator>Australian Industry Standards</dc:creator>
  <cp:keywords>Release: 1</cp:keywords>
  <dc:description>Review Date: 12 April 2008</dc:description>
  <cp:lastModifiedBy>HSD_TPCMSd.prod</cp:lastModifiedBy>
  <cp:revision>3</cp:revision>
  <dcterms:created xsi:type="dcterms:W3CDTF">2022-03-23T02:48:00Z</dcterms:created>
  <dcterms:modified xsi:type="dcterms:W3CDTF">2022-03-23T02:48:00Z</dcterms:modified>
</cp:coreProperties>
</file>