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D64" w:rsidP="00E27D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DEFWDV007 Dive using closed-circuit breathing apparatus (HeO2) in open water to a maximum depth of 60 metres</w:t>
      </w:r>
      <w:r>
        <w:fldChar w:fldCharType="end"/>
      </w:r>
    </w:p>
    <w:p w:rsidR="00E27D64" w:rsidP="00E27D64">
      <w:pPr>
        <w:pStyle w:val="Version"/>
        <w:sectPr w:rsidSect="00711D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D66" w:rsidP="00711D66">
      <w:pPr>
        <w:pStyle w:val="SuperHeading"/>
      </w:pPr>
      <w:r w:rsidRPr="00711D66">
        <w:t>DEFWDV007 Dive using closed-circuit breathing apparatus (HeO2) in open water to a maximum depth of 60 metres</w:t>
      </w:r>
    </w:p>
    <w:p w:rsidR="00000000" w:rsidRPr="00711D66" w:rsidP="00711D66">
      <w:pPr>
        <w:pStyle w:val="Heading1"/>
      </w:pPr>
      <w:bookmarkStart w:id="1" w:name="O_959275"/>
      <w:bookmarkEnd w:id="1"/>
      <w:r w:rsidRPr="00711D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 w:rsidP="00711D66">
            <w:pPr>
              <w:pStyle w:val="BodyText"/>
            </w:pPr>
            <w:r w:rsidRPr="00711D66">
              <w:t>Release 1. This is the first release of this unit of competency in the DEF Defence Training Package.</w:t>
            </w:r>
          </w:p>
        </w:tc>
      </w:tr>
    </w:tbl>
    <w:p w:rsidR="00000000" w:rsidRPr="00711D66" w:rsidP="00711D66">
      <w:pPr>
        <w:pStyle w:val="NoPaddingFontSize1"/>
      </w:pPr>
    </w:p>
    <w:p w:rsidR="00000000" w:rsidRPr="00711D66" w:rsidP="00711D66">
      <w:pPr>
        <w:pStyle w:val="AllowPageBreak"/>
      </w:pPr>
    </w:p>
    <w:p w:rsidR="00000000" w:rsidRPr="00711D66" w:rsidP="00711D66">
      <w:pPr>
        <w:pStyle w:val="Heading1"/>
      </w:pPr>
      <w:bookmarkStart w:id="2" w:name="O_959276"/>
      <w:bookmarkEnd w:id="2"/>
      <w:r w:rsidRPr="00711D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 w:rsidP="00711D66">
            <w:pPr>
              <w:pStyle w:val="BodyText"/>
            </w:pPr>
            <w:r w:rsidRPr="00711D66">
              <w:t>This unit specifies the skills and knowledge required to dive using closed circuit breathing apparatus (CCBA) (HeO2) in an open water environment to a maximum depth of 60 metres.</w:t>
            </w:r>
          </w:p>
          <w:p w:rsidR="00000000" w:rsidRPr="00711D66" w:rsidP="00711D66">
            <w:pPr>
              <w:pStyle w:val="BodyText"/>
            </w:pPr>
            <w:r w:rsidRPr="00711D66">
              <w:t>It includes operating the HeO2 compressor/handboo</w:t>
            </w:r>
            <w:r w:rsidRPr="00711D66">
              <w:t>ster pump, inspecting and operating CCBA (HeO2) equipment, and conducting CCBA (HeO2) specific contingency drills.</w:t>
            </w:r>
          </w:p>
          <w:p w:rsidR="00000000" w:rsidRPr="00711D66" w:rsidP="00711D66">
            <w:pPr>
              <w:pStyle w:val="BodyText"/>
            </w:pPr>
            <w:r w:rsidRPr="00711D66">
              <w:t>This unit applies to persons working as Defence Divers but could also apply to others working as work divers.</w:t>
            </w:r>
          </w:p>
          <w:p w:rsidR="00000000" w:rsidRPr="00711D66" w:rsidP="00711D66">
            <w:pPr>
              <w:pStyle w:val="BodyText"/>
            </w:pPr>
            <w:r w:rsidRPr="00711D66">
              <w:t>The skills and knowledge descri</w:t>
            </w:r>
            <w:r w:rsidRPr="00711D66">
              <w:t>bed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711D66" w:rsidP="00711D66">
            <w:pPr>
              <w:pStyle w:val="BodyText"/>
            </w:pPr>
            <w:r w:rsidRPr="00711D66">
              <w:t xml:space="preserve">Persons undertaking this unit work independently and perform </w:t>
            </w:r>
            <w:r w:rsidRPr="00711D66">
              <w:t>specific tasks in a range of contexts that could be unpredictable.</w:t>
            </w:r>
          </w:p>
          <w:p w:rsidR="00000000" w:rsidRPr="00711D66" w:rsidP="00711D66">
            <w:pPr>
              <w:pStyle w:val="BodyText"/>
            </w:pPr>
            <w:r w:rsidRPr="00711D66">
              <w:t>No licensing, legislative or certification requirements apply to this unit at the time of publication.</w:t>
            </w:r>
          </w:p>
        </w:tc>
      </w:tr>
    </w:tbl>
    <w:p w:rsidR="00000000" w:rsidRPr="00711D66" w:rsidP="00711D66">
      <w:pPr>
        <w:pStyle w:val="NoPaddingFontSize1"/>
      </w:pPr>
    </w:p>
    <w:p w:rsidR="00000000" w:rsidRPr="00711D66" w:rsidP="00711D66">
      <w:pPr>
        <w:pStyle w:val="AllowPageBreak"/>
      </w:pPr>
    </w:p>
    <w:p w:rsidR="00000000" w:rsidRPr="00711D66" w:rsidP="00711D66">
      <w:pPr>
        <w:pStyle w:val="Heading1"/>
      </w:pPr>
      <w:bookmarkStart w:id="3" w:name="O_959277"/>
      <w:bookmarkEnd w:id="3"/>
      <w:r w:rsidRPr="00711D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 w:rsidP="00711D66">
            <w:pPr>
              <w:pStyle w:val="BodyText"/>
            </w:pPr>
            <w:r w:rsidRPr="00711D66">
              <w:t>Not applicable</w:t>
            </w:r>
          </w:p>
        </w:tc>
      </w:tr>
    </w:tbl>
    <w:p w:rsidR="00000000" w:rsidRPr="00711D66" w:rsidP="00711D66">
      <w:pPr>
        <w:pStyle w:val="NoPaddingFontSize1"/>
      </w:pPr>
    </w:p>
    <w:p w:rsidR="00000000" w:rsidRPr="00711D66" w:rsidP="00711D66">
      <w:pPr>
        <w:pStyle w:val="AllowPageBreak"/>
      </w:pPr>
    </w:p>
    <w:p w:rsidR="00000000" w:rsidRPr="00711D66" w:rsidP="00711D66">
      <w:pPr>
        <w:pStyle w:val="Heading1"/>
      </w:pPr>
      <w:bookmarkStart w:id="4" w:name="O_959278"/>
      <w:bookmarkEnd w:id="4"/>
      <w:r w:rsidRPr="00711D66">
        <w:t>Competency Fie</w:t>
      </w:r>
      <w:r w:rsidRPr="00711D66">
        <w:t>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 w:rsidP="00711D66">
            <w:pPr>
              <w:pStyle w:val="BodyText"/>
            </w:pPr>
            <w:r w:rsidRPr="00711D66">
              <w:t>Work Diving</w:t>
            </w:r>
          </w:p>
        </w:tc>
      </w:tr>
    </w:tbl>
    <w:p w:rsidR="00000000" w:rsidRPr="00711D66" w:rsidP="00711D66">
      <w:pPr>
        <w:pStyle w:val="NoPaddingFontSize1"/>
      </w:pPr>
    </w:p>
    <w:p w:rsidR="00000000" w:rsidRPr="00711D66" w:rsidP="00711D66">
      <w:pPr>
        <w:pStyle w:val="AllowPageBreak"/>
      </w:pPr>
    </w:p>
    <w:p w:rsidR="00000000" w:rsidRPr="00711D66" w:rsidP="00711D66">
      <w:pPr>
        <w:pStyle w:val="Heading1"/>
      </w:pPr>
      <w:bookmarkStart w:id="5" w:name="O_959279"/>
      <w:bookmarkEnd w:id="5"/>
      <w:r w:rsidRPr="00711D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 w:rsidP="00711D66">
            <w:pPr>
              <w:pStyle w:val="BodyText"/>
            </w:pPr>
            <w:r w:rsidRPr="00711D66">
              <w:t>Not applicable.</w:t>
            </w:r>
          </w:p>
        </w:tc>
      </w:tr>
    </w:tbl>
    <w:p w:rsidR="00000000" w:rsidRPr="00711D66" w:rsidP="00711D66">
      <w:pPr>
        <w:pStyle w:val="NoPaddingFontSize1"/>
      </w:pPr>
    </w:p>
    <w:p w:rsidR="00000000" w:rsidRPr="00711D66" w:rsidP="00711D66">
      <w:pPr>
        <w:pStyle w:val="AllowPageBreak"/>
      </w:pPr>
    </w:p>
    <w:p w:rsidR="00000000" w:rsidRPr="00711D66" w:rsidP="00711D66">
      <w:pPr>
        <w:pStyle w:val="Heading1"/>
      </w:pPr>
      <w:bookmarkStart w:id="6" w:name="O_959280"/>
      <w:bookmarkEnd w:id="6"/>
      <w:r w:rsidRPr="00711D6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 w:rsidP="00711D66">
            <w:pPr>
              <w:pStyle w:val="BodyText"/>
            </w:pPr>
            <w:r w:rsidRPr="00711D6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rPr>
                <w:rStyle w:val="SpecialBold"/>
              </w:rPr>
              <w:t>PERFORMANCE CRITERIA</w:t>
            </w:r>
          </w:p>
        </w:tc>
      </w:tr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t xml:space="preserve">Elements describe the essential </w:t>
            </w:r>
            <w:r w:rsidRPr="00711D66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t xml:space="preserve">Performance criteria describe the performance needed to </w:t>
            </w:r>
            <w:r w:rsidRPr="00711D66">
              <w:t>demonstrate achievement of the element.</w:t>
            </w:r>
          </w:p>
        </w:tc>
      </w:tr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 w:rsidP="00711D66">
            <w:pPr>
              <w:pStyle w:val="BodyText"/>
            </w:pPr>
            <w:r w:rsidRPr="00711D6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 w:rsidP="00711D66">
            <w:pPr>
              <w:pStyle w:val="BodyText"/>
            </w:pPr>
            <w:r w:rsidRPr="00711D66">
              <w:rPr>
                <w:rStyle w:val="SpecialBold"/>
              </w:rPr>
              <w:t>Operate an HeO2 compressor/hand-booster pump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t>Inspect compressor and associated equipment for serviceability and report faults in accordance with operat</w:t>
            </w:r>
            <w:r w:rsidRPr="00711D66">
              <w:t>ional procedures</w:t>
            </w:r>
          </w:p>
        </w:tc>
      </w:tr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t>Fit appropriate protective equipment in accordance with organisational procedures</w:t>
            </w:r>
          </w:p>
        </w:tc>
      </w:tr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t>Connect leads and hoses to compressor in accordance with manufacturer instructions</w:t>
            </w:r>
          </w:p>
        </w:tc>
      </w:tr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t>Charge gas cylinders to maximum working pressure and record details in relevant logs in accordance with organisational procedures</w:t>
            </w:r>
          </w:p>
        </w:tc>
      </w:tr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t>Conduct operator level maintenance on compressor and report faults, as required in accordance with organisational proce</w:t>
            </w:r>
            <w:r w:rsidRPr="00711D66">
              <w:t>dures</w:t>
            </w:r>
          </w:p>
        </w:tc>
      </w:tr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t>Undertake activity to de-service compressor after use in accordance with operational requirements</w:t>
            </w:r>
          </w:p>
        </w:tc>
      </w:tr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 w:rsidP="00711D66">
            <w:pPr>
              <w:pStyle w:val="BodyText"/>
            </w:pPr>
            <w:r w:rsidRPr="00711D6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 w:rsidP="00711D66">
            <w:pPr>
              <w:pStyle w:val="BodyText"/>
            </w:pPr>
            <w:r w:rsidRPr="00711D66">
              <w:rPr>
                <w:rStyle w:val="SpecialBold"/>
              </w:rPr>
              <w:t>Conduct dive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t>Select, inspect and fit CCBA (HeO2), and conduct apparatus test as part of dive prepar</w:t>
            </w:r>
            <w:r w:rsidRPr="00711D66">
              <w:t>ations prior to entering water and in water, in accordance with dive plan</w:t>
            </w:r>
          </w:p>
        </w:tc>
      </w:tr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t>Undertake dive activities using CCBA (HeO2) and demonstrate relevant dive contingencies in accordance with organisational procedures and dive plan</w:t>
            </w:r>
          </w:p>
        </w:tc>
      </w:tr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t>Undertake activity to</w:t>
            </w:r>
            <w:r w:rsidRPr="00711D66">
              <w:t xml:space="preserve"> de-service CCBA (HeO2) and report defects in accordance with operational procedures</w:t>
            </w:r>
          </w:p>
        </w:tc>
      </w:tr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t>Maintain situational awareness of other divers during dive operations</w:t>
            </w:r>
          </w:p>
        </w:tc>
      </w:tr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D66">
            <w:pPr>
              <w:pStyle w:val="BodyText"/>
              <w:rPr>
                <w:lang w:val="en-NZ"/>
              </w:rPr>
            </w:pPr>
            <w:r w:rsidRPr="00711D6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 w:rsidP="00711D66">
            <w:pPr>
              <w:pStyle w:val="BodyText"/>
            </w:pPr>
            <w:r w:rsidRPr="00711D66">
              <w:t xml:space="preserve">Conduct a mid-water casualty handover between an HeO2 standby diver and an air standby </w:t>
            </w:r>
            <w:r w:rsidRPr="00711D66">
              <w:t>diver, in accordance with dive plan</w:t>
            </w:r>
          </w:p>
        </w:tc>
      </w:tr>
    </w:tbl>
    <w:p w:rsidR="00000000" w:rsidRPr="00711D66" w:rsidP="00711D66">
      <w:pPr>
        <w:pStyle w:val="NoPaddingFontSize1"/>
      </w:pPr>
    </w:p>
    <w:p w:rsidR="00000000" w:rsidRPr="00711D66" w:rsidP="00711D66">
      <w:pPr>
        <w:pStyle w:val="AllowPageBreak"/>
      </w:pPr>
    </w:p>
    <w:p w:rsidR="00000000" w:rsidRPr="00711D66" w:rsidP="00711D66">
      <w:pPr>
        <w:pStyle w:val="Heading1"/>
      </w:pPr>
      <w:bookmarkStart w:id="7" w:name="O_959281"/>
      <w:bookmarkEnd w:id="7"/>
      <w:r w:rsidRPr="00711D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 w:rsidP="00711D66">
            <w:pPr>
              <w:pStyle w:val="BodyText"/>
            </w:pPr>
            <w:r w:rsidRPr="00711D66">
              <w:t>Foundation skills essential to performance are explicit in the performance criteria of this unit of competency.</w:t>
            </w:r>
          </w:p>
        </w:tc>
      </w:tr>
    </w:tbl>
    <w:p w:rsidR="00000000" w:rsidRPr="00711D66" w:rsidP="00711D66">
      <w:pPr>
        <w:pStyle w:val="NoPaddingFontSize1"/>
      </w:pPr>
    </w:p>
    <w:p w:rsidR="00000000" w:rsidRPr="00711D66" w:rsidP="00711D66">
      <w:pPr>
        <w:pStyle w:val="AllowPageBreak"/>
      </w:pPr>
    </w:p>
    <w:p w:rsidR="00000000" w:rsidRPr="00711D66" w:rsidP="00711D66">
      <w:pPr>
        <w:pStyle w:val="Heading1"/>
      </w:pPr>
      <w:bookmarkStart w:id="8" w:name="O_959282"/>
      <w:bookmarkEnd w:id="8"/>
      <w:r w:rsidRPr="00711D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 w:rsidP="00711D66">
            <w:pPr>
              <w:pStyle w:val="BodyText"/>
            </w:pPr>
            <w:r w:rsidRPr="00711D66">
              <w:t>Range is restricted to e</w:t>
            </w:r>
            <w:r w:rsidRPr="00711D66">
              <w:t>ssential operating conditions and any other variables essential to the work environment.</w:t>
            </w:r>
          </w:p>
          <w:p w:rsidR="00000000" w:rsidRPr="00711D66" w:rsidP="00711D66">
            <w:pPr>
              <w:pStyle w:val="BodyText"/>
            </w:pPr>
            <w:r w:rsidRPr="00711D66">
              <w:t>Non-essential conditions may be found in the Companion Volume Implementation Guide.</w:t>
            </w:r>
          </w:p>
        </w:tc>
      </w:tr>
    </w:tbl>
    <w:p w:rsidR="00000000" w:rsidRPr="00711D66" w:rsidP="00711D66">
      <w:pPr>
        <w:pStyle w:val="NoPaddingFontSize1"/>
      </w:pPr>
    </w:p>
    <w:p w:rsidR="00000000" w:rsidRPr="00711D66" w:rsidP="00711D66">
      <w:pPr>
        <w:pStyle w:val="AllowPageBreak"/>
      </w:pPr>
    </w:p>
    <w:p w:rsidR="00000000" w:rsidRPr="00711D66" w:rsidP="00711D66">
      <w:pPr>
        <w:pStyle w:val="Heading1"/>
      </w:pPr>
      <w:bookmarkStart w:id="9" w:name="O_959283"/>
      <w:bookmarkEnd w:id="9"/>
      <w:r w:rsidRPr="00711D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D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D66" w:rsidP="00711D66">
            <w:pPr>
              <w:pStyle w:val="BodyText"/>
            </w:pPr>
            <w:r w:rsidRPr="00711D66">
              <w:t>This unit replaces but is not equivalen</w:t>
            </w:r>
            <w:r w:rsidRPr="00711D66">
              <w:t>t to DEFDV007B Dive using closed-circuit breathing apparatus (HeO2) in open water to a maximum depth of 60 metres.</w:t>
            </w:r>
          </w:p>
        </w:tc>
      </w:tr>
    </w:tbl>
    <w:p w:rsidR="00000000" w:rsidRPr="00711D66" w:rsidP="00711D66">
      <w:pPr>
        <w:pStyle w:val="NoPaddingFontSize1"/>
      </w:pPr>
    </w:p>
    <w:p w:rsidR="00000000" w:rsidRPr="00711D66" w:rsidP="00711D66">
      <w:pPr>
        <w:pStyle w:val="AllowPageBreak"/>
      </w:pPr>
    </w:p>
    <w:p w:rsidR="00000000" w:rsidRPr="00711D66" w:rsidP="00711D66">
      <w:pPr>
        <w:pStyle w:val="Heading1"/>
      </w:pPr>
      <w:bookmarkStart w:id="10" w:name="O_959290"/>
      <w:bookmarkEnd w:id="10"/>
      <w:r w:rsidRPr="00711D66">
        <w:t>Links</w:t>
      </w:r>
    </w:p>
    <w:p w:rsidR="00000000" w:rsidRPr="00711D66" w:rsidP="00E27D64">
      <w:pPr>
        <w:pStyle w:val="BodyText"/>
      </w:pPr>
      <w:r w:rsidRPr="00711D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E17C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11D66" w:rsidP="00711D66"/>
    <w:sectPr w:rsidSect="00711D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D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D66" w:rsidRPr="00E27D64" w:rsidP="00E27D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D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64" w:rsidP="00711D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D64" w:rsidP="00711D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27D64" w:rsidP="00711D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D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D66" w:rsidRPr="00E27D64" w:rsidP="00E27D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D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64" w:rsidRPr="002D2AF8" w:rsidP="00711D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DEFWDV007 Dive using closed-circuit breathing apparatus (HeO2) in open water to a maximum depth of 60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E27D64" w:rsidP="00711D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D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D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D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D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D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D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D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D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D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D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D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D66"/>
  </w:style>
  <w:style w:type="character" w:customStyle="1" w:styleId="Heading1Char">
    <w:name w:val="Heading 1 Char"/>
    <w:basedOn w:val="DefaultParagraphFont"/>
    <w:link w:val="Heading1"/>
    <w:rsid w:val="00711D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D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D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1D66"/>
    <w:rPr>
      <w:b/>
      <w:spacing w:val="0"/>
    </w:rPr>
  </w:style>
  <w:style w:type="paragraph" w:customStyle="1" w:styleId="SuperHeading">
    <w:name w:val="SuperHeading"/>
    <w:basedOn w:val="Normal"/>
    <w:rsid w:val="00711D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D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1D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D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D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D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D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D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D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D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D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D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D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D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D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D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D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1D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1D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D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D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D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1D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1D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D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D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D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D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D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D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D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D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D66"/>
    <w:rPr>
      <w:i/>
    </w:rPr>
  </w:style>
  <w:style w:type="paragraph" w:styleId="Caption">
    <w:name w:val="caption"/>
    <w:basedOn w:val="BodyText"/>
    <w:next w:val="Normal"/>
    <w:qFormat/>
    <w:rsid w:val="00711D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D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D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D66"/>
  </w:style>
  <w:style w:type="paragraph" w:styleId="TableofFigures">
    <w:name w:val="table of figures"/>
    <w:basedOn w:val="Normal"/>
    <w:next w:val="Normal"/>
    <w:semiHidden/>
    <w:rsid w:val="00711D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D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1D66"/>
    <w:rPr>
      <w:rFonts w:ascii="Wingdings" w:hAnsi="Wingdings"/>
    </w:rPr>
  </w:style>
  <w:style w:type="paragraph" w:customStyle="1" w:styleId="TableHeading">
    <w:name w:val="Table Heading"/>
    <w:basedOn w:val="HeadingBase"/>
    <w:rsid w:val="00711D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D66"/>
    <w:rPr>
      <w:color w:val="0033CC"/>
      <w:u w:val="none"/>
    </w:rPr>
  </w:style>
  <w:style w:type="paragraph" w:customStyle="1" w:styleId="BodyTextRight">
    <w:name w:val="Body Text Right"/>
    <w:basedOn w:val="BodyText"/>
    <w:rsid w:val="00711D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D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D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D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D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D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D66"/>
    <w:rPr>
      <w:sz w:val="32"/>
    </w:rPr>
  </w:style>
  <w:style w:type="paragraph" w:customStyle="1" w:styleId="HeadingProcedure">
    <w:name w:val="Heading Procedure"/>
    <w:basedOn w:val="HeadingBase"/>
    <w:next w:val="Normal"/>
    <w:rsid w:val="00711D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D66"/>
    <w:pPr>
      <w:spacing w:before="60" w:after="60"/>
    </w:pPr>
  </w:style>
  <w:style w:type="paragraph" w:styleId="ListContinue">
    <w:name w:val="List Continue"/>
    <w:basedOn w:val="List"/>
    <w:rsid w:val="00711D66"/>
    <w:pPr>
      <w:ind w:firstLine="0"/>
    </w:pPr>
  </w:style>
  <w:style w:type="paragraph" w:customStyle="1" w:styleId="ListNote">
    <w:name w:val="List Note"/>
    <w:basedOn w:val="List"/>
    <w:rsid w:val="00711D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D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D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D66"/>
    <w:rPr>
      <w:rFonts w:ascii="Courier New" w:hAnsi="Courier New"/>
    </w:rPr>
  </w:style>
  <w:style w:type="paragraph" w:customStyle="1" w:styleId="NoteBullet">
    <w:name w:val="Note Bullet"/>
    <w:basedOn w:val="Note"/>
    <w:rsid w:val="00711D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D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D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D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D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1D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D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D66"/>
    <w:rPr>
      <w:b/>
      <w:smallCaps/>
    </w:rPr>
  </w:style>
  <w:style w:type="paragraph" w:customStyle="1" w:styleId="TableListNumber">
    <w:name w:val="Table List Number"/>
    <w:basedOn w:val="ListNumber"/>
    <w:rsid w:val="00711D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D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D66"/>
    <w:pPr>
      <w:numPr>
        <w:numId w:val="7"/>
      </w:numPr>
    </w:pPr>
  </w:style>
  <w:style w:type="paragraph" w:customStyle="1" w:styleId="ListAlpha2">
    <w:name w:val="List Alpha 2"/>
    <w:basedOn w:val="List2"/>
    <w:rsid w:val="00711D66"/>
    <w:pPr>
      <w:numPr>
        <w:numId w:val="6"/>
      </w:numPr>
    </w:pPr>
  </w:style>
  <w:style w:type="paragraph" w:styleId="List2">
    <w:name w:val="List 2"/>
    <w:basedOn w:val="BodyText"/>
    <w:rsid w:val="00711D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D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D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D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D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D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1D66"/>
    <w:pPr>
      <w:numPr>
        <w:numId w:val="2"/>
      </w:numPr>
    </w:pPr>
  </w:style>
  <w:style w:type="paragraph" w:styleId="ListContinue2">
    <w:name w:val="List Continue 2"/>
    <w:basedOn w:val="List2"/>
    <w:rsid w:val="00711D66"/>
    <w:pPr>
      <w:ind w:firstLine="0"/>
    </w:pPr>
  </w:style>
  <w:style w:type="paragraph" w:styleId="ListContinue3">
    <w:name w:val="List Continue 3"/>
    <w:basedOn w:val="List3"/>
    <w:rsid w:val="00711D66"/>
    <w:pPr>
      <w:ind w:left="1021" w:firstLine="0"/>
    </w:pPr>
  </w:style>
  <w:style w:type="paragraph" w:styleId="ListContinue4">
    <w:name w:val="List Continue 4"/>
    <w:basedOn w:val="List4"/>
    <w:rsid w:val="00711D66"/>
    <w:pPr>
      <w:ind w:firstLine="0"/>
    </w:pPr>
  </w:style>
  <w:style w:type="paragraph" w:styleId="ListContinue5">
    <w:name w:val="List Continue 5"/>
    <w:basedOn w:val="List5"/>
    <w:rsid w:val="00711D66"/>
    <w:pPr>
      <w:ind w:firstLine="0"/>
    </w:pPr>
  </w:style>
  <w:style w:type="paragraph" w:styleId="ListNumber3">
    <w:name w:val="List Number 3"/>
    <w:basedOn w:val="List3"/>
    <w:rsid w:val="00711D66"/>
    <w:pPr>
      <w:numPr>
        <w:numId w:val="3"/>
      </w:numPr>
    </w:pPr>
  </w:style>
  <w:style w:type="paragraph" w:styleId="ListNumber4">
    <w:name w:val="List Number 4"/>
    <w:basedOn w:val="List4"/>
    <w:rsid w:val="00711D66"/>
    <w:pPr>
      <w:numPr>
        <w:numId w:val="4"/>
      </w:numPr>
    </w:pPr>
  </w:style>
  <w:style w:type="paragraph" w:styleId="ListNumber5">
    <w:name w:val="List Number 5"/>
    <w:basedOn w:val="List5"/>
    <w:rsid w:val="00711D66"/>
    <w:pPr>
      <w:numPr>
        <w:numId w:val="5"/>
      </w:numPr>
    </w:pPr>
  </w:style>
  <w:style w:type="paragraph" w:styleId="BlockText">
    <w:name w:val="Block Text"/>
    <w:basedOn w:val="Normal"/>
    <w:rsid w:val="00711D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D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D66"/>
    <w:rPr>
      <w:sz w:val="16"/>
      <w:vertAlign w:val="superscript"/>
    </w:rPr>
  </w:style>
  <w:style w:type="character" w:customStyle="1" w:styleId="Symbols">
    <w:name w:val="Symbols"/>
    <w:basedOn w:val="DefaultParagraphFont"/>
    <w:rsid w:val="00711D66"/>
    <w:rPr>
      <w:rFonts w:ascii="Symbol" w:hAnsi="Symbol"/>
    </w:rPr>
  </w:style>
  <w:style w:type="character" w:customStyle="1" w:styleId="MenuOptions">
    <w:name w:val="Menu Options"/>
    <w:basedOn w:val="DefaultParagraphFont"/>
    <w:rsid w:val="00711D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D66"/>
    <w:rPr>
      <w:b/>
    </w:rPr>
  </w:style>
  <w:style w:type="character" w:customStyle="1" w:styleId="Underlined">
    <w:name w:val="Underlined"/>
    <w:basedOn w:val="DefaultParagraphFont"/>
    <w:rsid w:val="00711D66"/>
    <w:rPr>
      <w:u w:val="single"/>
    </w:rPr>
  </w:style>
  <w:style w:type="paragraph" w:customStyle="1" w:styleId="TableBodyTextRight">
    <w:name w:val="Table Body Text Right"/>
    <w:basedOn w:val="TableBodyText"/>
    <w:rsid w:val="00711D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D66"/>
    <w:rPr>
      <w:sz w:val="18"/>
    </w:rPr>
  </w:style>
  <w:style w:type="paragraph" w:customStyle="1" w:styleId="BodySmallRight">
    <w:name w:val="Body Small Right"/>
    <w:basedOn w:val="BodyTextRight"/>
    <w:rsid w:val="00711D66"/>
    <w:rPr>
      <w:sz w:val="18"/>
      <w:szCs w:val="18"/>
    </w:rPr>
  </w:style>
  <w:style w:type="paragraph" w:customStyle="1" w:styleId="MarginEdition">
    <w:name w:val="Margin Edition"/>
    <w:basedOn w:val="MarginNote"/>
    <w:rsid w:val="00711D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D66"/>
    <w:rPr>
      <w:sz w:val="2"/>
      <w:szCs w:val="2"/>
    </w:rPr>
  </w:style>
  <w:style w:type="character" w:customStyle="1" w:styleId="Small">
    <w:name w:val="Small"/>
    <w:basedOn w:val="DefaultParagraphFont"/>
    <w:rsid w:val="00711D66"/>
    <w:rPr>
      <w:sz w:val="16"/>
    </w:rPr>
  </w:style>
  <w:style w:type="paragraph" w:customStyle="1" w:styleId="WideTable">
    <w:name w:val="Wide Table"/>
    <w:basedOn w:val="Normal"/>
    <w:rsid w:val="00711D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D66"/>
  </w:style>
  <w:style w:type="paragraph" w:styleId="Quote">
    <w:name w:val="Quote"/>
    <w:basedOn w:val="Heading1"/>
    <w:link w:val="QuoteChar"/>
    <w:qFormat/>
    <w:rsid w:val="00711D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D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D66"/>
    <w:pPr>
      <w:pageBreakBefore/>
    </w:pPr>
  </w:style>
  <w:style w:type="paragraph" w:customStyle="1" w:styleId="Border">
    <w:name w:val="Border"/>
    <w:basedOn w:val="Normal"/>
    <w:qFormat/>
    <w:rsid w:val="00711D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D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D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D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D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D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D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D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D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D66"/>
    <w:rPr>
      <w:u w:val="single"/>
    </w:rPr>
  </w:style>
  <w:style w:type="character" w:customStyle="1" w:styleId="BoldandItalics">
    <w:name w:val="Bold and Italics"/>
    <w:qFormat/>
    <w:rsid w:val="00711D66"/>
    <w:rPr>
      <w:b/>
      <w:i/>
      <w:u w:val="none"/>
    </w:rPr>
  </w:style>
  <w:style w:type="paragraph" w:styleId="BalloonText">
    <w:name w:val="Balloon Text"/>
    <w:basedOn w:val="Normal"/>
    <w:link w:val="BalloonTextChar"/>
    <w:rsid w:val="00711D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D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D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D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D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D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D66"/>
    <w:pPr>
      <w:spacing w:before="0" w:after="0"/>
    </w:pPr>
  </w:style>
  <w:style w:type="paragraph" w:customStyle="1" w:styleId="BodyTextBold">
    <w:name w:val="Body Text Bold"/>
    <w:basedOn w:val="BodyText"/>
    <w:qFormat/>
    <w:rsid w:val="00711D66"/>
    <w:rPr>
      <w:b/>
    </w:rPr>
  </w:style>
  <w:style w:type="character" w:styleId="Hyperlink">
    <w:name w:val="Hyperlink"/>
    <w:basedOn w:val="DefaultParagraphFont"/>
    <w:uiPriority w:val="99"/>
    <w:unhideWhenUsed/>
    <w:rsid w:val="00E27D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3298</Characters>
  <Application>Microsoft Office Word</Application>
  <DocSecurity>0</DocSecurity>
  <Lines>143</Lines>
  <Paragraphs>71</Paragraphs>
  <ScaleCrop>false</ScaleCrop>
  <Company>Author-it Software Corporation Ltd.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DEFWDV007 Dive using closed-circuit breathing apparatus (HeO2) in open water to a maximum depth of 60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2022-03-23T01:25:00Z</dcterms:created>
  <dcterms:modified xsi:type="dcterms:W3CDTF">2022-03-23T01:25:00Z</dcterms:modified>
</cp:coreProperties>
</file>