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5A80" w:rsidP="00B35A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DEFWDV005 Dive using closed-circuit breathing apparatus (N2O2) in open water to a maximum depth of 40 metres</w:t>
      </w:r>
      <w:r>
        <w:fldChar w:fldCharType="end"/>
      </w:r>
    </w:p>
    <w:p w:rsidR="00B35A80" w:rsidP="00B35A80">
      <w:pPr>
        <w:pStyle w:val="Version"/>
        <w:sectPr w:rsidSect="00AC44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4435" w:rsidP="00AC4435">
      <w:pPr>
        <w:pStyle w:val="SuperHeading"/>
      </w:pPr>
      <w:r w:rsidRPr="00AC4435">
        <w:t>DEFWDV005 Dive using closed-circuit breathing apparatus (N2O2) in open water to a maximum depth of 40 metres</w:t>
      </w:r>
    </w:p>
    <w:p w:rsidR="00000000" w:rsidRPr="00AC4435" w:rsidP="00AC4435">
      <w:pPr>
        <w:pStyle w:val="Heading1"/>
      </w:pPr>
      <w:bookmarkStart w:id="1" w:name="O_959237"/>
      <w:bookmarkEnd w:id="1"/>
      <w:r w:rsidRPr="00AC443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44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435" w:rsidP="00AC4435">
            <w:pPr>
              <w:pStyle w:val="BodyText"/>
            </w:pPr>
            <w:r w:rsidRPr="00AC4435">
              <w:t>Release 1. This is the first release of this unit of competency in the DEF Defence Training Package.</w:t>
            </w:r>
          </w:p>
        </w:tc>
      </w:tr>
    </w:tbl>
    <w:p w:rsidR="00000000" w:rsidRPr="00AC4435" w:rsidP="00AC4435">
      <w:pPr>
        <w:pStyle w:val="NoPaddingFontSize1"/>
      </w:pPr>
    </w:p>
    <w:p w:rsidR="00000000" w:rsidRPr="00AC4435" w:rsidP="00AC4435">
      <w:pPr>
        <w:pStyle w:val="AllowPageBreak"/>
      </w:pPr>
    </w:p>
    <w:p w:rsidR="00000000" w:rsidRPr="00AC4435" w:rsidP="00AC4435">
      <w:pPr>
        <w:pStyle w:val="Heading1"/>
      </w:pPr>
      <w:bookmarkStart w:id="2" w:name="O_959238"/>
      <w:bookmarkEnd w:id="2"/>
      <w:r w:rsidRPr="00AC443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44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435" w:rsidP="00AC4435">
            <w:pPr>
              <w:pStyle w:val="BodyText"/>
            </w:pPr>
            <w:r w:rsidRPr="00AC4435">
              <w:t>This unit specifies the skills and knowledge required to dive using closed circuit breathing apparatus (CCBA) (N2O2) in an open water environment to a maximum depth of 40 metres.</w:t>
            </w:r>
          </w:p>
          <w:p w:rsidR="00000000" w:rsidRPr="00AC4435" w:rsidP="00AC4435">
            <w:pPr>
              <w:pStyle w:val="BodyText"/>
            </w:pPr>
            <w:r w:rsidRPr="00AC4435">
              <w:t>It includes operating the N2O2 compressor/handboo</w:t>
            </w:r>
            <w:r w:rsidRPr="00AC4435">
              <w:t>ster pump, inspecting and operating CCBA (N2O2) equipment, and conducting CCBA (N2O2) specific contingency drills.</w:t>
            </w:r>
          </w:p>
          <w:p w:rsidR="00000000" w:rsidRPr="00AC4435" w:rsidP="00AC4435">
            <w:pPr>
              <w:pStyle w:val="BodyText"/>
            </w:pPr>
            <w:r w:rsidRPr="00AC4435">
              <w:t>This unit applies to persons working as Defence divers but can be applied to others working in this field</w:t>
            </w:r>
          </w:p>
          <w:p w:rsidR="00000000" w:rsidRPr="00AC4435" w:rsidP="00AC4435">
            <w:pPr>
              <w:pStyle w:val="BodyText"/>
            </w:pPr>
            <w:r w:rsidRPr="00AC4435">
              <w:t xml:space="preserve">The skills and knowledge described </w:t>
            </w:r>
            <w:r w:rsidRPr="00AC4435">
              <w:t>in this unit must be applied within the legislative, regulatory and policy environment in which they are carried out. Organisational policies and procedures must be consulted and adhered to.</w:t>
            </w:r>
          </w:p>
          <w:p w:rsidR="00000000" w:rsidRPr="00AC4435" w:rsidP="00AC4435">
            <w:pPr>
              <w:pStyle w:val="BodyText"/>
            </w:pPr>
            <w:r w:rsidRPr="00AC4435">
              <w:t>Persons undertaking this unit work independently and perform spec</w:t>
            </w:r>
            <w:r w:rsidRPr="00AC4435">
              <w:t>ific tasks in a range of contexts that could be unpredictable.</w:t>
            </w:r>
          </w:p>
          <w:p w:rsidR="00000000" w:rsidRPr="00AC4435" w:rsidP="00AC4435">
            <w:pPr>
              <w:pStyle w:val="BodyText"/>
            </w:pPr>
            <w:r w:rsidRPr="00AC4435">
              <w:t>No licensing, legislative or certification requirements apply to this unit at the time of publication.</w:t>
            </w:r>
          </w:p>
        </w:tc>
      </w:tr>
    </w:tbl>
    <w:p w:rsidR="00000000" w:rsidRPr="00AC4435" w:rsidP="00AC4435">
      <w:pPr>
        <w:pStyle w:val="NoPaddingFontSize1"/>
      </w:pPr>
    </w:p>
    <w:p w:rsidR="00000000" w:rsidRPr="00AC4435" w:rsidP="00AC4435">
      <w:pPr>
        <w:pStyle w:val="AllowPageBreak"/>
      </w:pPr>
    </w:p>
    <w:p w:rsidR="00000000" w:rsidRPr="00AC4435" w:rsidP="00AC4435">
      <w:pPr>
        <w:pStyle w:val="Heading1"/>
      </w:pPr>
      <w:bookmarkStart w:id="3" w:name="O_959239"/>
      <w:bookmarkEnd w:id="3"/>
      <w:r w:rsidRPr="00AC443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44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435" w:rsidP="00AC4435">
            <w:pPr>
              <w:pStyle w:val="BodyText"/>
            </w:pPr>
            <w:r w:rsidRPr="00AC4435">
              <w:t>Not applicable</w:t>
            </w:r>
          </w:p>
        </w:tc>
      </w:tr>
    </w:tbl>
    <w:p w:rsidR="00000000" w:rsidRPr="00AC4435" w:rsidP="00AC4435">
      <w:pPr>
        <w:pStyle w:val="NoPaddingFontSize1"/>
      </w:pPr>
    </w:p>
    <w:p w:rsidR="00000000" w:rsidRPr="00AC4435" w:rsidP="00AC4435">
      <w:pPr>
        <w:pStyle w:val="AllowPageBreak"/>
      </w:pPr>
    </w:p>
    <w:p w:rsidR="00000000" w:rsidRPr="00AC4435" w:rsidP="00AC4435">
      <w:pPr>
        <w:pStyle w:val="Heading1"/>
      </w:pPr>
      <w:bookmarkStart w:id="4" w:name="O_959240"/>
      <w:bookmarkEnd w:id="4"/>
      <w:r w:rsidRPr="00AC443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44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435" w:rsidP="00AC4435">
            <w:pPr>
              <w:pStyle w:val="BodyText"/>
            </w:pPr>
            <w:r w:rsidRPr="00AC4435">
              <w:t>W</w:t>
            </w:r>
            <w:r w:rsidRPr="00AC4435">
              <w:t>ork Diving</w:t>
            </w:r>
          </w:p>
        </w:tc>
      </w:tr>
    </w:tbl>
    <w:p w:rsidR="00000000" w:rsidRPr="00AC4435" w:rsidP="00AC4435">
      <w:pPr>
        <w:pStyle w:val="NoPaddingFontSize1"/>
      </w:pPr>
    </w:p>
    <w:p w:rsidR="00000000" w:rsidRPr="00AC4435" w:rsidP="00AC4435">
      <w:pPr>
        <w:pStyle w:val="AllowPageBreak"/>
      </w:pPr>
    </w:p>
    <w:p w:rsidR="00000000" w:rsidRPr="00AC4435" w:rsidP="00AC4435">
      <w:pPr>
        <w:pStyle w:val="Heading1"/>
      </w:pPr>
      <w:bookmarkStart w:id="5" w:name="O_959241"/>
      <w:bookmarkEnd w:id="5"/>
      <w:r w:rsidRPr="00AC443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44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435" w:rsidP="00AC4435">
            <w:pPr>
              <w:pStyle w:val="BodyText"/>
            </w:pPr>
            <w:r w:rsidRPr="00AC4435">
              <w:t>Not applicable.</w:t>
            </w:r>
          </w:p>
        </w:tc>
      </w:tr>
    </w:tbl>
    <w:p w:rsidR="00000000" w:rsidRPr="00AC4435" w:rsidP="00AC4435">
      <w:pPr>
        <w:pStyle w:val="NoPaddingFontSize1"/>
      </w:pPr>
    </w:p>
    <w:p w:rsidR="00000000" w:rsidRPr="00AC4435" w:rsidP="00AC4435">
      <w:pPr>
        <w:pStyle w:val="AllowPageBreak"/>
      </w:pPr>
    </w:p>
    <w:p w:rsidR="00000000" w:rsidRPr="00AC4435" w:rsidP="00AC4435">
      <w:pPr>
        <w:pStyle w:val="Heading1"/>
      </w:pPr>
      <w:bookmarkStart w:id="6" w:name="O_959242"/>
      <w:bookmarkEnd w:id="6"/>
      <w:r w:rsidRPr="00AC443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AC44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435" w:rsidP="00AC4435">
            <w:pPr>
              <w:pStyle w:val="BodyText"/>
            </w:pPr>
            <w:r w:rsidRPr="00AC443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435">
            <w:pPr>
              <w:pStyle w:val="BodyText"/>
              <w:rPr>
                <w:lang w:val="en-NZ"/>
              </w:rPr>
            </w:pPr>
            <w:r w:rsidRPr="00AC4435">
              <w:rPr>
                <w:rStyle w:val="SpecialBold"/>
              </w:rPr>
              <w:t>PERFORMANCE CRITERIA</w:t>
            </w:r>
          </w:p>
        </w:tc>
      </w:tr>
      <w:tr w:rsidTr="00AC44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435">
            <w:pPr>
              <w:pStyle w:val="BodyText"/>
              <w:rPr>
                <w:lang w:val="en-NZ"/>
              </w:rPr>
            </w:pPr>
            <w:r w:rsidRPr="00AC4435">
              <w:t xml:space="preserve">Elements describe the essential </w:t>
            </w:r>
            <w:r w:rsidRPr="00AC4435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435">
            <w:pPr>
              <w:pStyle w:val="BodyText"/>
              <w:rPr>
                <w:lang w:val="en-NZ"/>
              </w:rPr>
            </w:pPr>
            <w:r w:rsidRPr="00AC4435">
              <w:t xml:space="preserve">Performance criteria describe the performance needed to </w:t>
            </w:r>
            <w:r w:rsidRPr="00AC4435">
              <w:t>demonstrate achievement of the element.</w:t>
            </w:r>
          </w:p>
        </w:tc>
      </w:tr>
      <w:tr w:rsidTr="00AC44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435" w:rsidP="00AC4435">
            <w:pPr>
              <w:pStyle w:val="BodyText"/>
            </w:pPr>
            <w:r w:rsidRPr="00AC4435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435" w:rsidP="00AC4435">
            <w:pPr>
              <w:pStyle w:val="BodyText"/>
            </w:pPr>
            <w:r w:rsidRPr="00AC4435">
              <w:rPr>
                <w:rStyle w:val="SpecialBold"/>
              </w:rPr>
              <w:t>Operate an N2O2 compressor/hand-booster pump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435">
            <w:pPr>
              <w:pStyle w:val="BodyText"/>
              <w:rPr>
                <w:lang w:val="en-NZ"/>
              </w:rPr>
            </w:pPr>
            <w:r w:rsidRPr="00AC443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435">
            <w:pPr>
              <w:pStyle w:val="BodyText"/>
              <w:rPr>
                <w:lang w:val="en-NZ"/>
              </w:rPr>
            </w:pPr>
            <w:r w:rsidRPr="00AC4435">
              <w:t>Inspect compressor and associated equipment for serviceability</w:t>
            </w:r>
          </w:p>
        </w:tc>
      </w:tr>
      <w:tr w:rsidTr="00AC44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4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435">
            <w:pPr>
              <w:pStyle w:val="BodyText"/>
              <w:rPr>
                <w:lang w:val="en-NZ"/>
              </w:rPr>
            </w:pPr>
            <w:r w:rsidRPr="00AC443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435">
            <w:pPr>
              <w:pStyle w:val="BodyText"/>
              <w:rPr>
                <w:lang w:val="en-NZ"/>
              </w:rPr>
            </w:pPr>
            <w:r w:rsidRPr="00AC4435">
              <w:t>Fit appropriate protective equipment</w:t>
            </w:r>
            <w:r w:rsidRPr="00AC4435">
              <w:t xml:space="preserve"> in accordance with organisational procedures</w:t>
            </w:r>
          </w:p>
        </w:tc>
      </w:tr>
      <w:tr w:rsidTr="00AC44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4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435">
            <w:pPr>
              <w:pStyle w:val="BodyText"/>
              <w:rPr>
                <w:lang w:val="en-NZ"/>
              </w:rPr>
            </w:pPr>
            <w:r w:rsidRPr="00AC443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435">
            <w:pPr>
              <w:pStyle w:val="BodyText"/>
              <w:rPr>
                <w:lang w:val="en-NZ"/>
              </w:rPr>
            </w:pPr>
            <w:r w:rsidRPr="00AC4435">
              <w:t>Connect leads and hoses to compressor</w:t>
            </w:r>
          </w:p>
        </w:tc>
      </w:tr>
      <w:tr w:rsidTr="00AC44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4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435">
            <w:pPr>
              <w:pStyle w:val="BodyText"/>
              <w:rPr>
                <w:lang w:val="en-NZ"/>
              </w:rPr>
            </w:pPr>
            <w:r w:rsidRPr="00AC443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435">
            <w:pPr>
              <w:pStyle w:val="BodyText"/>
              <w:rPr>
                <w:lang w:val="en-NZ"/>
              </w:rPr>
            </w:pPr>
            <w:r w:rsidRPr="00AC4435">
              <w:t>Charge gas cylinders to maximum working pressure and record details in relevant logs in accordance with operational procedures</w:t>
            </w:r>
          </w:p>
        </w:tc>
      </w:tr>
      <w:tr w:rsidTr="00AC44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4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435">
            <w:pPr>
              <w:pStyle w:val="BodyText"/>
              <w:rPr>
                <w:lang w:val="en-NZ"/>
              </w:rPr>
            </w:pPr>
            <w:r w:rsidRPr="00AC443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435">
            <w:pPr>
              <w:pStyle w:val="BodyText"/>
              <w:rPr>
                <w:lang w:val="en-NZ"/>
              </w:rPr>
            </w:pPr>
            <w:r w:rsidRPr="00AC4435">
              <w:t>Undertake operator level maintenance on compressor and report defects as required, in accordance with organisational procedures</w:t>
            </w:r>
          </w:p>
        </w:tc>
      </w:tr>
      <w:tr w:rsidTr="00AC44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4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435">
            <w:pPr>
              <w:pStyle w:val="BodyText"/>
              <w:rPr>
                <w:lang w:val="en-NZ"/>
              </w:rPr>
            </w:pPr>
            <w:r w:rsidRPr="00AC4435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435">
            <w:pPr>
              <w:pStyle w:val="BodyText"/>
              <w:rPr>
                <w:lang w:val="en-NZ"/>
              </w:rPr>
            </w:pPr>
            <w:r w:rsidRPr="00AC4435">
              <w:t>Re-stow compressor after use in accordance with operational procedures</w:t>
            </w:r>
          </w:p>
        </w:tc>
      </w:tr>
      <w:tr w:rsidTr="00AC44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435" w:rsidP="00AC4435">
            <w:pPr>
              <w:pStyle w:val="BodyText"/>
            </w:pPr>
            <w:r w:rsidRPr="00AC4435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435" w:rsidP="00AC4435">
            <w:pPr>
              <w:pStyle w:val="BodyText"/>
            </w:pPr>
            <w:r w:rsidRPr="00AC4435">
              <w:rPr>
                <w:rStyle w:val="SpecialBold"/>
              </w:rPr>
              <w:t>Conduct dive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435">
            <w:pPr>
              <w:pStyle w:val="BodyText"/>
              <w:rPr>
                <w:lang w:val="en-NZ"/>
              </w:rPr>
            </w:pPr>
            <w:r w:rsidRPr="00AC443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435">
            <w:pPr>
              <w:pStyle w:val="BodyText"/>
              <w:rPr>
                <w:lang w:val="en-NZ"/>
              </w:rPr>
            </w:pPr>
            <w:r w:rsidRPr="00AC4435">
              <w:t>Select, inspect and fit CCBA (N2O2), and conduct apparatus test prior to entering water and in water, in accordance with dive plan</w:t>
            </w:r>
          </w:p>
        </w:tc>
      </w:tr>
      <w:tr w:rsidTr="00AC44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4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435">
            <w:pPr>
              <w:pStyle w:val="BodyText"/>
              <w:rPr>
                <w:lang w:val="en-NZ"/>
              </w:rPr>
            </w:pPr>
            <w:r w:rsidRPr="00AC443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435">
            <w:pPr>
              <w:pStyle w:val="BodyText"/>
              <w:rPr>
                <w:lang w:val="en-NZ"/>
              </w:rPr>
            </w:pPr>
            <w:r w:rsidRPr="00AC4435">
              <w:t>Use CCBA (N2O2) during dive operations and demonstrate relevant dive contingencies in accordance with organisational p</w:t>
            </w:r>
            <w:r w:rsidRPr="00AC4435">
              <w:t>rocedures and dive plan</w:t>
            </w:r>
          </w:p>
        </w:tc>
      </w:tr>
      <w:tr w:rsidTr="00AC44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4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435">
            <w:pPr>
              <w:pStyle w:val="BodyText"/>
              <w:rPr>
                <w:lang w:val="en-NZ"/>
              </w:rPr>
            </w:pPr>
            <w:r w:rsidRPr="00AC443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435" w:rsidP="00AC4435">
            <w:pPr>
              <w:pStyle w:val="BodyText"/>
            </w:pPr>
            <w:r w:rsidRPr="00AC4435">
              <w:t>Undertake de-servicing of CCBA (N2O2) and report defects as required, in accordance with organisational procedures</w:t>
            </w:r>
          </w:p>
        </w:tc>
      </w:tr>
    </w:tbl>
    <w:p w:rsidR="00000000" w:rsidRPr="00AC4435" w:rsidP="00AC4435">
      <w:pPr>
        <w:pStyle w:val="NoPaddingFontSize1"/>
      </w:pPr>
    </w:p>
    <w:p w:rsidR="00000000" w:rsidRPr="00AC4435" w:rsidP="00AC4435">
      <w:pPr>
        <w:pStyle w:val="AllowPageBreak"/>
      </w:pPr>
    </w:p>
    <w:p w:rsidR="00000000" w:rsidRPr="00AC4435" w:rsidP="00AC4435">
      <w:pPr>
        <w:pStyle w:val="Heading1"/>
      </w:pPr>
      <w:bookmarkStart w:id="7" w:name="O_959243"/>
      <w:bookmarkEnd w:id="7"/>
      <w:r w:rsidRPr="00AC443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44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435" w:rsidP="00AC4435">
            <w:pPr>
              <w:pStyle w:val="BodyText"/>
            </w:pPr>
            <w:r w:rsidRPr="00AC4435">
              <w:t>Foundation skills essential to performance are explicit in the performanc</w:t>
            </w:r>
            <w:r w:rsidRPr="00AC4435">
              <w:t>e criteria of this unit of competency.</w:t>
            </w:r>
          </w:p>
        </w:tc>
      </w:tr>
    </w:tbl>
    <w:p w:rsidR="00000000" w:rsidRPr="00AC4435" w:rsidP="00AC4435">
      <w:pPr>
        <w:pStyle w:val="NoPaddingFontSize1"/>
      </w:pPr>
    </w:p>
    <w:p w:rsidR="00000000" w:rsidRPr="00AC4435" w:rsidP="00AC4435">
      <w:pPr>
        <w:pStyle w:val="AllowPageBreak"/>
      </w:pPr>
    </w:p>
    <w:p w:rsidR="00000000" w:rsidRPr="00AC4435" w:rsidP="00AC4435">
      <w:pPr>
        <w:pStyle w:val="Heading1"/>
      </w:pPr>
      <w:bookmarkStart w:id="8" w:name="O_959244"/>
      <w:bookmarkEnd w:id="8"/>
      <w:r w:rsidRPr="00AC443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44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435" w:rsidP="00AC4435">
            <w:pPr>
              <w:pStyle w:val="BodyText"/>
            </w:pPr>
            <w:r w:rsidRPr="00AC4435">
              <w:t>Range is restricted to essential operating conditions and any other variables essential to the work environment.</w:t>
            </w:r>
          </w:p>
          <w:p w:rsidR="00000000" w:rsidRPr="00AC4435" w:rsidP="00AC4435">
            <w:pPr>
              <w:pStyle w:val="BodyText"/>
            </w:pPr>
            <w:r w:rsidRPr="00AC4435">
              <w:t>Non-essential conditions may be found in the Companion Volume Implementation Guide.</w:t>
            </w:r>
          </w:p>
        </w:tc>
      </w:tr>
    </w:tbl>
    <w:p w:rsidR="00000000" w:rsidRPr="00AC4435" w:rsidP="00AC4435">
      <w:pPr>
        <w:pStyle w:val="NoPaddingFontSize1"/>
      </w:pPr>
    </w:p>
    <w:p w:rsidR="00000000" w:rsidRPr="00AC4435" w:rsidP="00AC4435">
      <w:pPr>
        <w:pStyle w:val="AllowPageBreak"/>
      </w:pPr>
    </w:p>
    <w:p w:rsidR="00000000" w:rsidRPr="00AC4435" w:rsidP="00AC4435">
      <w:pPr>
        <w:pStyle w:val="Heading1"/>
      </w:pPr>
      <w:bookmarkStart w:id="9" w:name="O_959245"/>
      <w:bookmarkEnd w:id="9"/>
      <w:r w:rsidRPr="00AC443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44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435" w:rsidP="00AC4435">
            <w:pPr>
              <w:pStyle w:val="BodyText"/>
            </w:pPr>
            <w:r w:rsidRPr="00AC4435">
              <w:t>This unit replaces but is not equivalent to DEFDV005B Dive using closed-circuit breathing apparatus (N2O2) in open water to a ma</w:t>
            </w:r>
            <w:r w:rsidRPr="00AC4435">
              <w:t>ximum depth of 40 metres.</w:t>
            </w:r>
          </w:p>
        </w:tc>
      </w:tr>
    </w:tbl>
    <w:p w:rsidR="00000000" w:rsidRPr="00AC4435" w:rsidP="00AC4435">
      <w:pPr>
        <w:pStyle w:val="NoPaddingFontSize1"/>
      </w:pPr>
    </w:p>
    <w:p w:rsidR="00000000" w:rsidRPr="00AC4435" w:rsidP="00AC4435">
      <w:pPr>
        <w:pStyle w:val="AllowPageBreak"/>
      </w:pPr>
    </w:p>
    <w:p w:rsidR="00000000" w:rsidRPr="00AC4435" w:rsidP="00AC4435">
      <w:pPr>
        <w:pStyle w:val="Heading1"/>
      </w:pPr>
      <w:bookmarkStart w:id="10" w:name="O_959252"/>
      <w:bookmarkEnd w:id="10"/>
      <w:r w:rsidRPr="00AC4435">
        <w:t>Links</w:t>
      </w:r>
    </w:p>
    <w:p w:rsidR="00000000" w:rsidRPr="00AC4435" w:rsidP="00B35A80">
      <w:pPr>
        <w:pStyle w:val="BodyText"/>
      </w:pPr>
      <w:r w:rsidRPr="00AC44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3D576F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AC4435" w:rsidP="00AC4435"/>
    <w:sectPr w:rsidSect="00AC44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4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435" w:rsidRPr="00B35A80" w:rsidP="00B35A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4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A80" w:rsidP="00AC44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5A80" w:rsidP="00AC44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35A80" w:rsidP="00AC44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4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A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4435" w:rsidRPr="00B35A80" w:rsidP="00B35A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4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A80" w:rsidRPr="002D2AF8" w:rsidP="00AC44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DEFWDV005 Dive using closed-circuit breathing apparatus (N2O2) in open water to a maximum depth of 40 metres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B35A80" w:rsidP="00AC44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44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44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44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44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44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44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44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44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44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44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44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4435"/>
  </w:style>
  <w:style w:type="character" w:customStyle="1" w:styleId="Heading1Char">
    <w:name w:val="Heading 1 Char"/>
    <w:basedOn w:val="DefaultParagraphFont"/>
    <w:link w:val="Heading1"/>
    <w:rsid w:val="00AC44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44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443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C4435"/>
    <w:rPr>
      <w:b/>
      <w:spacing w:val="0"/>
    </w:rPr>
  </w:style>
  <w:style w:type="paragraph" w:customStyle="1" w:styleId="SuperHeading">
    <w:name w:val="SuperHeading"/>
    <w:basedOn w:val="Normal"/>
    <w:rsid w:val="00AC44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44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C44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44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44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44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44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44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44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44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44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44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44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44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44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44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44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44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44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44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443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C443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C44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44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44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44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443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44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44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44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44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44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44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44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44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44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4435"/>
    <w:rPr>
      <w:i/>
    </w:rPr>
  </w:style>
  <w:style w:type="paragraph" w:styleId="Caption">
    <w:name w:val="caption"/>
    <w:basedOn w:val="BodyText"/>
    <w:next w:val="Normal"/>
    <w:qFormat/>
    <w:rsid w:val="00AC44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44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44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4435"/>
  </w:style>
  <w:style w:type="paragraph" w:styleId="TableofFigures">
    <w:name w:val="table of figures"/>
    <w:basedOn w:val="Normal"/>
    <w:next w:val="Normal"/>
    <w:semiHidden/>
    <w:rsid w:val="00AC44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443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C4435"/>
    <w:rPr>
      <w:rFonts w:ascii="Wingdings" w:hAnsi="Wingdings"/>
    </w:rPr>
  </w:style>
  <w:style w:type="paragraph" w:customStyle="1" w:styleId="TableHeading">
    <w:name w:val="Table Heading"/>
    <w:basedOn w:val="HeadingBase"/>
    <w:rsid w:val="00AC44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4435"/>
    <w:rPr>
      <w:color w:val="0033CC"/>
      <w:u w:val="none"/>
    </w:rPr>
  </w:style>
  <w:style w:type="paragraph" w:customStyle="1" w:styleId="BodyTextRight">
    <w:name w:val="Body Text Right"/>
    <w:basedOn w:val="BodyText"/>
    <w:rsid w:val="00AC44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44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443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44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44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44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4435"/>
    <w:rPr>
      <w:sz w:val="32"/>
    </w:rPr>
  </w:style>
  <w:style w:type="paragraph" w:customStyle="1" w:styleId="HeadingProcedure">
    <w:name w:val="Heading Procedure"/>
    <w:basedOn w:val="HeadingBase"/>
    <w:next w:val="Normal"/>
    <w:rsid w:val="00AC44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4435"/>
    <w:pPr>
      <w:spacing w:before="60" w:after="60"/>
    </w:pPr>
  </w:style>
  <w:style w:type="paragraph" w:styleId="ListContinue">
    <w:name w:val="List Continue"/>
    <w:basedOn w:val="List"/>
    <w:rsid w:val="00AC4435"/>
    <w:pPr>
      <w:ind w:firstLine="0"/>
    </w:pPr>
  </w:style>
  <w:style w:type="paragraph" w:customStyle="1" w:styleId="ListNote">
    <w:name w:val="List Note"/>
    <w:basedOn w:val="List"/>
    <w:rsid w:val="00AC44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44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44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4435"/>
    <w:rPr>
      <w:rFonts w:ascii="Courier New" w:hAnsi="Courier New"/>
    </w:rPr>
  </w:style>
  <w:style w:type="paragraph" w:customStyle="1" w:styleId="NoteBullet">
    <w:name w:val="Note Bullet"/>
    <w:basedOn w:val="Note"/>
    <w:rsid w:val="00AC44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44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44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44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443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C44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44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4435"/>
    <w:rPr>
      <w:b/>
      <w:smallCaps/>
    </w:rPr>
  </w:style>
  <w:style w:type="paragraph" w:customStyle="1" w:styleId="TableListNumber">
    <w:name w:val="Table List Number"/>
    <w:basedOn w:val="ListNumber"/>
    <w:rsid w:val="00AC44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44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4435"/>
    <w:pPr>
      <w:numPr>
        <w:numId w:val="7"/>
      </w:numPr>
    </w:pPr>
  </w:style>
  <w:style w:type="paragraph" w:customStyle="1" w:styleId="ListAlpha2">
    <w:name w:val="List Alpha 2"/>
    <w:basedOn w:val="List2"/>
    <w:rsid w:val="00AC4435"/>
    <w:pPr>
      <w:numPr>
        <w:numId w:val="6"/>
      </w:numPr>
    </w:pPr>
  </w:style>
  <w:style w:type="paragraph" w:styleId="List2">
    <w:name w:val="List 2"/>
    <w:basedOn w:val="BodyText"/>
    <w:rsid w:val="00AC44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44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44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44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443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443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C4435"/>
    <w:pPr>
      <w:numPr>
        <w:numId w:val="2"/>
      </w:numPr>
    </w:pPr>
  </w:style>
  <w:style w:type="paragraph" w:styleId="ListContinue2">
    <w:name w:val="List Continue 2"/>
    <w:basedOn w:val="List2"/>
    <w:rsid w:val="00AC4435"/>
    <w:pPr>
      <w:ind w:firstLine="0"/>
    </w:pPr>
  </w:style>
  <w:style w:type="paragraph" w:styleId="ListContinue3">
    <w:name w:val="List Continue 3"/>
    <w:basedOn w:val="List3"/>
    <w:rsid w:val="00AC4435"/>
    <w:pPr>
      <w:ind w:left="1021" w:firstLine="0"/>
    </w:pPr>
  </w:style>
  <w:style w:type="paragraph" w:styleId="ListContinue4">
    <w:name w:val="List Continue 4"/>
    <w:basedOn w:val="List4"/>
    <w:rsid w:val="00AC4435"/>
    <w:pPr>
      <w:ind w:firstLine="0"/>
    </w:pPr>
  </w:style>
  <w:style w:type="paragraph" w:styleId="ListContinue5">
    <w:name w:val="List Continue 5"/>
    <w:basedOn w:val="List5"/>
    <w:rsid w:val="00AC4435"/>
    <w:pPr>
      <w:ind w:firstLine="0"/>
    </w:pPr>
  </w:style>
  <w:style w:type="paragraph" w:styleId="ListNumber3">
    <w:name w:val="List Number 3"/>
    <w:basedOn w:val="List3"/>
    <w:rsid w:val="00AC4435"/>
    <w:pPr>
      <w:numPr>
        <w:numId w:val="3"/>
      </w:numPr>
    </w:pPr>
  </w:style>
  <w:style w:type="paragraph" w:styleId="ListNumber4">
    <w:name w:val="List Number 4"/>
    <w:basedOn w:val="List4"/>
    <w:rsid w:val="00AC4435"/>
    <w:pPr>
      <w:numPr>
        <w:numId w:val="4"/>
      </w:numPr>
    </w:pPr>
  </w:style>
  <w:style w:type="paragraph" w:styleId="ListNumber5">
    <w:name w:val="List Number 5"/>
    <w:basedOn w:val="List5"/>
    <w:rsid w:val="00AC4435"/>
    <w:pPr>
      <w:numPr>
        <w:numId w:val="5"/>
      </w:numPr>
    </w:pPr>
  </w:style>
  <w:style w:type="paragraph" w:styleId="BlockText">
    <w:name w:val="Block Text"/>
    <w:basedOn w:val="Normal"/>
    <w:rsid w:val="00AC44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44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4435"/>
    <w:rPr>
      <w:sz w:val="16"/>
      <w:vertAlign w:val="superscript"/>
    </w:rPr>
  </w:style>
  <w:style w:type="character" w:customStyle="1" w:styleId="Symbols">
    <w:name w:val="Symbols"/>
    <w:basedOn w:val="DefaultParagraphFont"/>
    <w:rsid w:val="00AC4435"/>
    <w:rPr>
      <w:rFonts w:ascii="Symbol" w:hAnsi="Symbol"/>
    </w:rPr>
  </w:style>
  <w:style w:type="character" w:customStyle="1" w:styleId="MenuOptions">
    <w:name w:val="Menu Options"/>
    <w:basedOn w:val="DefaultParagraphFont"/>
    <w:rsid w:val="00AC44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4435"/>
    <w:rPr>
      <w:b/>
    </w:rPr>
  </w:style>
  <w:style w:type="character" w:customStyle="1" w:styleId="Underlined">
    <w:name w:val="Underlined"/>
    <w:basedOn w:val="DefaultParagraphFont"/>
    <w:rsid w:val="00AC4435"/>
    <w:rPr>
      <w:u w:val="single"/>
    </w:rPr>
  </w:style>
  <w:style w:type="paragraph" w:customStyle="1" w:styleId="TableBodyTextRight">
    <w:name w:val="Table Body Text Right"/>
    <w:basedOn w:val="TableBodyText"/>
    <w:rsid w:val="00AC44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4435"/>
    <w:rPr>
      <w:sz w:val="18"/>
    </w:rPr>
  </w:style>
  <w:style w:type="paragraph" w:customStyle="1" w:styleId="BodySmallRight">
    <w:name w:val="Body Small Right"/>
    <w:basedOn w:val="BodyTextRight"/>
    <w:rsid w:val="00AC4435"/>
    <w:rPr>
      <w:sz w:val="18"/>
      <w:szCs w:val="18"/>
    </w:rPr>
  </w:style>
  <w:style w:type="paragraph" w:customStyle="1" w:styleId="MarginEdition">
    <w:name w:val="Margin Edition"/>
    <w:basedOn w:val="MarginNote"/>
    <w:rsid w:val="00AC44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4435"/>
    <w:rPr>
      <w:sz w:val="2"/>
      <w:szCs w:val="2"/>
    </w:rPr>
  </w:style>
  <w:style w:type="character" w:customStyle="1" w:styleId="Small">
    <w:name w:val="Small"/>
    <w:basedOn w:val="DefaultParagraphFont"/>
    <w:rsid w:val="00AC4435"/>
    <w:rPr>
      <w:sz w:val="16"/>
    </w:rPr>
  </w:style>
  <w:style w:type="paragraph" w:customStyle="1" w:styleId="WideTable">
    <w:name w:val="Wide Table"/>
    <w:basedOn w:val="Normal"/>
    <w:rsid w:val="00AC44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4435"/>
  </w:style>
  <w:style w:type="paragraph" w:styleId="Quote">
    <w:name w:val="Quote"/>
    <w:basedOn w:val="Heading1"/>
    <w:link w:val="QuoteChar"/>
    <w:qFormat/>
    <w:rsid w:val="00AC44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44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4435"/>
    <w:pPr>
      <w:pageBreakBefore/>
    </w:pPr>
  </w:style>
  <w:style w:type="paragraph" w:customStyle="1" w:styleId="Border">
    <w:name w:val="Border"/>
    <w:basedOn w:val="Normal"/>
    <w:qFormat/>
    <w:rsid w:val="00AC44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44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44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44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44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44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44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44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44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4435"/>
    <w:rPr>
      <w:u w:val="single"/>
    </w:rPr>
  </w:style>
  <w:style w:type="character" w:customStyle="1" w:styleId="BoldandItalics">
    <w:name w:val="Bold and Italics"/>
    <w:qFormat/>
    <w:rsid w:val="00AC4435"/>
    <w:rPr>
      <w:b/>
      <w:i/>
      <w:u w:val="none"/>
    </w:rPr>
  </w:style>
  <w:style w:type="paragraph" w:styleId="BalloonText">
    <w:name w:val="Balloon Text"/>
    <w:basedOn w:val="Normal"/>
    <w:link w:val="BalloonTextChar"/>
    <w:rsid w:val="00AC44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44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44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44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44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44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4435"/>
    <w:pPr>
      <w:spacing w:before="0" w:after="0"/>
    </w:pPr>
  </w:style>
  <w:style w:type="paragraph" w:customStyle="1" w:styleId="BodyTextBold">
    <w:name w:val="Body Text Bold"/>
    <w:basedOn w:val="BodyText"/>
    <w:qFormat/>
    <w:rsid w:val="00AC4435"/>
    <w:rPr>
      <w:b/>
    </w:rPr>
  </w:style>
  <w:style w:type="character" w:styleId="Hyperlink">
    <w:name w:val="Hyperlink"/>
    <w:basedOn w:val="DefaultParagraphFont"/>
    <w:uiPriority w:val="99"/>
    <w:unhideWhenUsed/>
    <w:rsid w:val="00B35A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487</Words>
  <Characters>2982</Characters>
  <Application>Microsoft Office Word</Application>
  <DocSecurity>0</DocSecurity>
  <Lines>129</Lines>
  <Paragraphs>66</Paragraphs>
  <ScaleCrop>false</ScaleCrop>
  <Company>Author-it Software Corporation Ltd.</Company>
  <LinksUpToDate>false</LinksUpToDate>
  <CharactersWithSpaces>3403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DEFWDV005 Dive using closed-circuit breathing apparatus (N2O2) in open water to a maximum depth of 40 metres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2022-03-23T01:04:00Z</dcterms:created>
  <dcterms:modified xsi:type="dcterms:W3CDTF">2022-03-23T01:04:00Z</dcterms:modified>
</cp:coreProperties>
</file>