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BFB" w:rsidP="00225BFB">
      <w:pPr>
        <w:pStyle w:val="Title"/>
      </w:pPr>
      <w:r>
        <w:fldChar w:fldCharType="begin"/>
      </w:r>
      <w:r>
        <w:instrText xml:space="preserve"> TITLE   \* MERGEFORMAT </w:instrText>
      </w:r>
      <w:r>
        <w:fldChar w:fldCharType="separate"/>
      </w:r>
      <w:r>
        <w:t>DEFVEH002 Extract disabled equipment using winching techniques in a field environment</w:t>
      </w:r>
      <w:r>
        <w:fldChar w:fldCharType="end"/>
      </w:r>
    </w:p>
    <w:p w:rsidR="00225BFB" w:rsidP="00225BFB">
      <w:pPr>
        <w:pStyle w:val="Version"/>
        <w:sectPr w:rsidSect="00C01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1BE" w:rsidP="00C011BE">
      <w:pPr>
        <w:pStyle w:val="SuperHeading"/>
      </w:pPr>
      <w:r w:rsidRPr="00C011BE">
        <w:t>DEFVEH002 Extract disabled equipment using winching techniques in a field environment</w:t>
      </w:r>
    </w:p>
    <w:p w:rsidR="00000000" w:rsidRPr="00C011BE" w:rsidP="00C011BE">
      <w:pPr>
        <w:pStyle w:val="Heading1"/>
      </w:pPr>
      <w:bookmarkStart w:id="1" w:name="O_958952"/>
      <w:bookmarkEnd w:id="1"/>
      <w:r w:rsidRPr="00C011BE">
        <w:t>Modification History</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Release 1. This is the first release of this unit of competency in the DEF Defence Training Package.</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2" w:name="O_958953"/>
      <w:bookmarkEnd w:id="2"/>
      <w:r w:rsidRPr="00C011BE">
        <w:t>Application</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This unit specifies the skills and knowledge required to assess equipment and vehicles requiring recovery and to employ suitable winching techniques and procedures to extricate casualties utilising specialist recovery vehicles equipped with motorised winch</w:t>
            </w:r>
            <w:r w:rsidRPr="00C011BE">
              <w:t>ing equipment.</w:t>
            </w:r>
          </w:p>
          <w:p w:rsidR="00000000" w:rsidRPr="00C011BE" w:rsidP="00C011BE">
            <w:pPr>
              <w:pStyle w:val="BodyText"/>
            </w:pPr>
            <w:r w:rsidRPr="00C011BE">
              <w:t>It includes operating winching equipment capable of extracting a range of vehicles and equipment that have become bogged or broken down due to terrain or environmental factors, and cannot be extracted by other means.</w:t>
            </w:r>
          </w:p>
          <w:p w:rsidR="00000000" w:rsidRPr="00C011BE" w:rsidP="00C011BE">
            <w:pPr>
              <w:pStyle w:val="BodyText"/>
            </w:pPr>
            <w:r w:rsidRPr="00C011BE">
              <w:t>The skills and knowledge</w:t>
            </w:r>
            <w:r w:rsidRPr="00C011BE">
              <w:t xml:space="preserve"> described in this unit must be applied within the legislative, regulatory and policy environment in which they are carried out. Organisational policies and procedures must be consulted and adhered to.</w:t>
            </w:r>
          </w:p>
          <w:p w:rsidR="00000000" w:rsidRPr="00C011BE" w:rsidP="00C011BE">
            <w:pPr>
              <w:pStyle w:val="BodyText"/>
            </w:pPr>
            <w:r w:rsidRPr="00C011BE">
              <w:t>Typically, winching operations are conducted by person</w:t>
            </w:r>
            <w:r w:rsidRPr="00C011BE">
              <w:t>s acting independently or in charge of a small team, isolated from assistance or supervision. They exercise judgement and work within agreed safety procedures.</w:t>
            </w:r>
          </w:p>
          <w:p w:rsidR="00000000" w:rsidRPr="00C011BE" w:rsidP="00C011BE">
            <w:pPr>
              <w:pStyle w:val="BodyText"/>
            </w:pPr>
            <w:r w:rsidRPr="00C011BE">
              <w:t>No licensing, legislative or certification requirements apply to this unit at the time of public</w:t>
            </w:r>
            <w:r w:rsidRPr="00C011BE">
              <w:t>ation.</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3" w:name="O_958954"/>
      <w:bookmarkEnd w:id="3"/>
      <w:r w:rsidRPr="00C011BE">
        <w:t>Pre-requisite Unit</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Not applicable</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4" w:name="O_958955"/>
      <w:bookmarkEnd w:id="4"/>
      <w:r w:rsidRPr="00C011BE">
        <w:t>Competency Field</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Vehicle Recovery</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5" w:name="O_958956"/>
      <w:bookmarkEnd w:id="5"/>
      <w:r w:rsidRPr="00C011BE">
        <w:t>Unit Sector</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Not applicable.</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6" w:name="O_958957"/>
      <w:bookmarkEnd w:id="6"/>
      <w:r w:rsidRPr="00C011B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011B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PERFORMANCE CRITERIA</w:t>
            </w:r>
          </w:p>
        </w:tc>
      </w:tr>
      <w:tr w:rsidTr="00C011B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Performance criteria describe the performance needed to demonstrate achievement of the element.</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Respond to call for assistance</w:t>
            </w: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Obtain winching tas</w:t>
            </w:r>
            <w:r w:rsidRPr="00C011BE">
              <w:t>ks and confirm details in accordance with operational requirements</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Assess tasks to determine equipment requirements</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Check and prepare recovery vehicle for task in accordance with organisational procedures</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Deploy recovery v</w:t>
            </w:r>
            <w:r w:rsidRPr="00C011BE">
              <w:t>ehicle to casualty site in preparation to conduct task</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Assess winching task</w:t>
            </w: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Liaise with on-site personnel</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Assess equipment casualty to determine suitability for winching</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Inspect site, identify</w:t>
            </w:r>
            <w:r w:rsidRPr="00C011BE">
              <w:t xml:space="preserve"> hazards and obstacles associated with winching, assess risks and implement control measures in accordance with organisational procedure</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Determine winching equipment requirements to extricate casualty and ensure suitable recovery vehicle and equipme</w:t>
            </w:r>
            <w:r w:rsidRPr="00C011BE">
              <w:t>nt for task</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Develop winching plan taking into account terrain conditions, requirements of casualty, site, recovery equipment and vehicle capabilities</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Determine and apply work health and safety (WHS)/occupational health and safety (OHS) requir</w:t>
            </w:r>
            <w:r w:rsidRPr="00C011BE">
              <w:t>ements during winching operations in accordance with organisational procedures</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Prepare for winching task</w:t>
            </w: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Prepare equipment casualty for winching in accordance with winching plan</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Prepare winching equipment in accordance with winching plan</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Brief on-site personnel, allocate tasks and supervise personnel in accordance with organisational procedures</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Extricate equipment casualty using winch</w:t>
            </w: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Conduct winching process in accordance with winching plan</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Respond to minor unplanned sit</w:t>
            </w:r>
            <w:r w:rsidRPr="00C011BE">
              <w:t xml:space="preserve">uations in accordance with organisational procedures, in a manner that </w:t>
            </w:r>
            <w:r w:rsidRPr="00C011BE">
              <w:t>minimises risk to personnel and equipment</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Seek assistance from appropriate personnel when major problems outside scope of vehicle winching team capability occur</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rPr>
                <w:rStyle w:val="SpecialBold"/>
              </w:rPr>
              <w:t>Finalise winching operations</w:t>
            </w: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Hand over equipment casualty to owner or recover further as required to complete task</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Recover and inspect winching equipment for damage in accordance with organisational procedures</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Report unserviceable equipme</w:t>
            </w:r>
            <w:r w:rsidRPr="00C011BE">
              <w:t>nt and take appropriate actions in accordance with organisational procedures</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Maintain equipment in accordance with manufacturer instructions</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t>Compile documentation and make reports, as required</w:t>
            </w:r>
          </w:p>
        </w:tc>
      </w:tr>
      <w:tr w:rsidTr="00C011B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11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11BE">
            <w:pPr>
              <w:pStyle w:val="BodyText"/>
              <w:rPr>
                <w:lang w:val="en-NZ"/>
              </w:rPr>
            </w:pPr>
            <w:r w:rsidRPr="00C011BE">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Refurbish worksite in accordance with organisational procedures</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7" w:name="O_958958"/>
      <w:bookmarkEnd w:id="7"/>
      <w:r w:rsidRPr="00C011BE">
        <w:t>Foundation Skills</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Foundation skills essential to performance are explicit in the performance criteria of this unit of competency.</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8" w:name="O_958959"/>
      <w:bookmarkEnd w:id="8"/>
      <w:r w:rsidRPr="00C011BE">
        <w:t>Range of Conditions</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Range is restricted to essential operating conditions and any other variables essential to the work environment.</w:t>
            </w:r>
          </w:p>
          <w:p w:rsidR="00000000" w:rsidRPr="00C011BE" w:rsidP="00C011BE">
            <w:pPr>
              <w:pStyle w:val="BodyText"/>
            </w:pPr>
            <w:r w:rsidRPr="00C011BE">
              <w:t>Non-essential conditions may be found in the Companion Volume Implementation Guide.</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9" w:name="O_958960"/>
      <w:bookmarkEnd w:id="9"/>
      <w:r w:rsidRPr="00C011BE">
        <w:t>Unit Mapping Information</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This unit repla</w:t>
            </w:r>
            <w:r w:rsidRPr="00C011BE">
              <w:t>ces and is equivalent to DEFVH002A Extract disabled equipment using winching techniques in a field environment.</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10" w:name="O_958967"/>
      <w:bookmarkEnd w:id="10"/>
      <w:r w:rsidRPr="00C011BE">
        <w:t>Links</w:t>
      </w:r>
    </w:p>
    <w:p w:rsidR="00000000" w:rsidRPr="00C011BE" w:rsidP="00225BFB">
      <w:pPr>
        <w:pStyle w:val="BodyText"/>
      </w:pPr>
      <w:r w:rsidRPr="00C011B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27C9F">
        <w:rPr>
          <w:rStyle w:val="Hyperlink"/>
        </w:rPr>
        <w:t>https://vetnet.gov.au/Pages/TrainingDocs.aspx?q=6bdbab1e-11ed-4bc9-9cba-9e1a55d4e4a9</w:t>
      </w:r>
      <w:r>
        <w:fldChar w:fldCharType="end"/>
      </w:r>
    </w:p>
    <w:p w:rsidR="00000000" w:rsidRPr="00C011BE" w:rsidP="00225BFB">
      <w:pPr>
        <w:pStyle w:val="BodyText"/>
        <w:sectPr w:rsidSect="00C011BE">
          <w:headerReference w:type="default" r:id="rId10"/>
          <w:footerReference w:type="default" r:id="rId11"/>
          <w:pgSz w:w="11908" w:h="16833"/>
          <w:pgMar w:top="1702" w:right="1418" w:bottom="1702" w:left="1418" w:header="992" w:footer="992" w:gutter="0"/>
          <w:cols w:space="720"/>
          <w:noEndnote/>
          <w:docGrid w:linePitch="299"/>
        </w:sectPr>
      </w:pPr>
    </w:p>
    <w:p w:rsidR="00000000" w:rsidRPr="00C011BE" w:rsidP="00C011BE">
      <w:pPr>
        <w:pStyle w:val="SuperHeading"/>
      </w:pPr>
      <w:r w:rsidRPr="00C011BE">
        <w:t>Assessment Requirements for DEFVEH002 Extract disabled equipment using winching techniques in a field environment</w:t>
      </w:r>
    </w:p>
    <w:p w:rsidR="00000000" w:rsidRPr="00C011BE" w:rsidP="00C011BE">
      <w:pPr>
        <w:pStyle w:val="Heading1"/>
      </w:pPr>
      <w:bookmarkStart w:id="11" w:name="O_958962"/>
      <w:bookmarkEnd w:id="11"/>
      <w:r w:rsidRPr="00C011BE">
        <w:t>Modification History</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Release 1. This is the first release of this unit of competency in the DEF Defence Training Package.</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12" w:name="O_958963"/>
      <w:bookmarkEnd w:id="12"/>
      <w:r w:rsidRPr="00C011BE">
        <w:t>Performance Evidence</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Evidence required to demonstrate competence in this unit must be relevant to and satisfy all of the requirements of</w:t>
            </w:r>
            <w:r w:rsidRPr="00C011BE">
              <w:t xml:space="preserve"> the elements and performance criteria on at least one occasion and include:</w:t>
            </w:r>
          </w:p>
          <w:p w:rsidR="00000000" w:rsidRPr="00C011BE" w:rsidP="00C011BE">
            <w:pPr>
              <w:pStyle w:val="ListBullet"/>
            </w:pPr>
            <w:r w:rsidRPr="00C011BE">
              <w:t>allocating appropriate materials and personnel to winching task</w:t>
            </w:r>
          </w:p>
          <w:p w:rsidR="00000000" w:rsidRPr="00C011BE" w:rsidP="00C011BE">
            <w:pPr>
              <w:pStyle w:val="ListBullet"/>
            </w:pPr>
            <w:r w:rsidRPr="00C011BE">
              <w:t>applying relevant organisational policies and procedures</w:t>
            </w:r>
          </w:p>
          <w:p w:rsidR="00000000" w:rsidRPr="00C011BE" w:rsidP="00C011BE">
            <w:pPr>
              <w:pStyle w:val="ListBullet"/>
            </w:pPr>
            <w:r w:rsidRPr="00C011BE">
              <w:t>applying safety, legislative and statutory requirements r</w:t>
            </w:r>
            <w:r w:rsidRPr="00C011BE">
              <w:t>elevant to winching risk assessment</w:t>
            </w:r>
          </w:p>
          <w:p w:rsidR="00000000" w:rsidRPr="00C011BE" w:rsidP="00C011BE">
            <w:pPr>
              <w:pStyle w:val="ListBullet"/>
            </w:pPr>
            <w:r w:rsidRPr="00C011BE">
              <w:t>assessing site and winching risks and applying control measures</w:t>
            </w:r>
          </w:p>
          <w:p w:rsidR="00000000" w:rsidRPr="00C011BE" w:rsidP="00C011BE">
            <w:pPr>
              <w:pStyle w:val="ListBullet"/>
            </w:pPr>
            <w:r w:rsidRPr="00C011BE">
              <w:t>assessing winching task</w:t>
            </w:r>
          </w:p>
          <w:p w:rsidR="00000000" w:rsidRPr="00C011BE" w:rsidP="00C011BE">
            <w:pPr>
              <w:pStyle w:val="ListBullet"/>
            </w:pPr>
            <w:r w:rsidRPr="00C011BE">
              <w:t>briefing and supervising personnel</w:t>
            </w:r>
          </w:p>
          <w:p w:rsidR="00000000" w:rsidRPr="00C011BE" w:rsidP="00C011BE">
            <w:pPr>
              <w:pStyle w:val="ListBullet"/>
            </w:pPr>
            <w:r w:rsidRPr="00C011BE">
              <w:t>communicating effectively in the workplace</w:t>
            </w:r>
          </w:p>
          <w:p w:rsidR="00000000" w:rsidRPr="00C011BE" w:rsidP="00C011BE">
            <w:pPr>
              <w:pStyle w:val="ListBullet"/>
            </w:pPr>
            <w:r w:rsidRPr="00C011BE">
              <w:t>conducting a winching operation to extricate a light and a medium/heavy rigid vehicle</w:t>
            </w:r>
          </w:p>
          <w:p w:rsidR="00000000" w:rsidRPr="00C011BE" w:rsidP="00C011BE">
            <w:pPr>
              <w:pStyle w:val="ListBullet"/>
            </w:pPr>
            <w:r w:rsidRPr="00C011BE">
              <w:t>conducting winching operations on ground that is soft enough to simulate the conditions encountered when winching bogged vehicles</w:t>
            </w:r>
          </w:p>
          <w:p w:rsidR="00000000" w:rsidRPr="00C011BE" w:rsidP="00C011BE">
            <w:pPr>
              <w:pStyle w:val="ListBullet"/>
            </w:pPr>
            <w:r w:rsidRPr="00C011BE">
              <w:t>extricating equipment casualty using a w</w:t>
            </w:r>
            <w:r w:rsidRPr="00C011BE">
              <w:t>inch</w:t>
            </w:r>
          </w:p>
          <w:p w:rsidR="00000000" w:rsidRPr="00C011BE" w:rsidP="00C011BE">
            <w:pPr>
              <w:pStyle w:val="ListBullet"/>
            </w:pPr>
            <w:r w:rsidRPr="00C011BE">
              <w:t>finalising winching operations</w:t>
            </w:r>
          </w:p>
          <w:p w:rsidR="00000000" w:rsidRPr="00C011BE" w:rsidP="00C011BE">
            <w:pPr>
              <w:pStyle w:val="ListBullet"/>
            </w:pPr>
            <w:r w:rsidRPr="00C011BE">
              <w:t>identifying, interpreting and analysing risk assessment requirements relevant to winching work being performed</w:t>
            </w:r>
          </w:p>
          <w:p w:rsidR="00000000" w:rsidRPr="00C011BE" w:rsidP="00C011BE">
            <w:pPr>
              <w:pStyle w:val="ListBullet"/>
            </w:pPr>
            <w:r w:rsidRPr="00C011BE">
              <w:t>preparing for winching task</w:t>
            </w:r>
          </w:p>
          <w:p w:rsidR="00000000" w:rsidRPr="00C011BE" w:rsidP="00C011BE">
            <w:pPr>
              <w:pStyle w:val="ListBullet"/>
            </w:pPr>
            <w:r w:rsidRPr="00C011BE">
              <w:t>providing reports and appropriate documentation</w:t>
            </w:r>
          </w:p>
          <w:p w:rsidR="00000000" w:rsidRPr="00C011BE" w:rsidP="00C011BE">
            <w:pPr>
              <w:pStyle w:val="ListBullet"/>
            </w:pPr>
            <w:r w:rsidRPr="00C011BE">
              <w:t>responding to call for winching a</w:t>
            </w:r>
            <w:r w:rsidRPr="00C011BE">
              <w:t>ssistance</w:t>
            </w:r>
          </w:p>
          <w:p w:rsidR="00000000" w:rsidRPr="00C011BE" w:rsidP="00C011BE">
            <w:pPr>
              <w:pStyle w:val="ListBullet"/>
            </w:pPr>
            <w:r w:rsidRPr="00C011BE">
              <w:t>solving problems relevant to winching task</w:t>
            </w:r>
          </w:p>
          <w:p w:rsidR="00000000" w:rsidRPr="00C011BE" w:rsidP="00C011BE">
            <w:pPr>
              <w:pStyle w:val="ListBullet"/>
            </w:pPr>
            <w:r w:rsidRPr="00C011BE">
              <w:t>using motorised winches, winch ropes and associated fittings.</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13" w:name="O_958964"/>
      <w:bookmarkEnd w:id="13"/>
      <w:r w:rsidRPr="00C011BE">
        <w:t>Knowledge Evidence</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Evidence required to demonstrate competence in this unit must be relevant to and satisfy all of the req</w:t>
            </w:r>
            <w:r w:rsidRPr="00C011BE">
              <w:t>uirements of the elements and performance criteria and include knowledge of:</w:t>
            </w:r>
          </w:p>
          <w:p w:rsidR="00000000" w:rsidRPr="00C011BE" w:rsidP="00C011BE">
            <w:pPr>
              <w:pStyle w:val="ListBullet"/>
            </w:pPr>
            <w:r w:rsidRPr="00C011BE">
              <w:t>basic engineering principles relevant to winching including:</w:t>
            </w:r>
          </w:p>
          <w:p w:rsidR="00000000" w:rsidRPr="00C011BE" w:rsidP="00C011BE">
            <w:pPr>
              <w:pStyle w:val="ListBullet2"/>
            </w:pPr>
            <w:r w:rsidRPr="00C011BE">
              <w:t>characteristics and capabilities of recovery vehicles and equipment</w:t>
            </w:r>
          </w:p>
          <w:p w:rsidR="00000000" w:rsidRPr="00C011BE" w:rsidP="00C011BE">
            <w:pPr>
              <w:pStyle w:val="ListBullet2"/>
            </w:pPr>
            <w:r w:rsidRPr="00C011BE">
              <w:t>material capabilities</w:t>
            </w:r>
          </w:p>
          <w:p w:rsidR="00000000" w:rsidRPr="00C011BE" w:rsidP="00C011BE">
            <w:pPr>
              <w:pStyle w:val="ListBullet2"/>
            </w:pPr>
            <w:r w:rsidRPr="00C011BE">
              <w:t>theory of levers and pulleys</w:t>
            </w:r>
          </w:p>
          <w:p w:rsidR="00000000" w:rsidRPr="00C011BE" w:rsidP="00C011BE">
            <w:pPr>
              <w:pStyle w:val="ListBullet"/>
            </w:pPr>
            <w:r w:rsidRPr="00C011BE">
              <w:t>basic vehicle mechanical principles</w:t>
            </w:r>
          </w:p>
          <w:p w:rsidR="00000000" w:rsidRPr="00C011BE" w:rsidP="00C011BE">
            <w:pPr>
              <w:pStyle w:val="ListBullet"/>
            </w:pPr>
            <w:r w:rsidRPr="00C011BE">
              <w:t>hazards associated with winching</w:t>
            </w:r>
          </w:p>
          <w:p w:rsidR="00000000" w:rsidRPr="00C011BE" w:rsidP="00C011BE">
            <w:pPr>
              <w:pStyle w:val="ListBullet"/>
            </w:pPr>
            <w:r w:rsidRPr="00C011BE">
              <w:t>maintenance requirements and organisational procedures</w:t>
            </w:r>
          </w:p>
          <w:p w:rsidR="00000000" w:rsidRPr="00C011BE" w:rsidP="00C011BE">
            <w:pPr>
              <w:pStyle w:val="ListBullet"/>
            </w:pPr>
            <w:r w:rsidRPr="00C011BE">
              <w:t>recovery methods and winching procedures</w:t>
            </w:r>
          </w:p>
          <w:p w:rsidR="00000000" w:rsidRPr="00C011BE" w:rsidP="00C011BE">
            <w:pPr>
              <w:pStyle w:val="ListBullet"/>
            </w:pPr>
            <w:r w:rsidRPr="00C011BE">
              <w:t>relevant legislation and organisational policies and procedur</w:t>
            </w:r>
            <w:r w:rsidRPr="00C011BE">
              <w:t>es</w:t>
            </w:r>
          </w:p>
          <w:p w:rsidR="00000000" w:rsidRPr="00C011BE" w:rsidP="00C011BE">
            <w:pPr>
              <w:pStyle w:val="ListBullet"/>
            </w:pPr>
            <w:r w:rsidRPr="00C011BE">
              <w:t>reporting requirements and procedures</w:t>
            </w:r>
          </w:p>
          <w:p w:rsidR="00000000" w:rsidRPr="00C011BE" w:rsidP="00C011BE">
            <w:pPr>
              <w:pStyle w:val="ListBullet"/>
            </w:pPr>
            <w:r w:rsidRPr="00C011BE">
              <w:t>organisational work health and safety (WHS)/occupational health and safety (OHS) requirements and procedures relevant to winching operations including:</w:t>
            </w:r>
          </w:p>
          <w:p w:rsidR="00000000" w:rsidRPr="00C011BE" w:rsidP="00C011BE">
            <w:pPr>
              <w:pStyle w:val="ListBullet2"/>
            </w:pPr>
            <w:r w:rsidRPr="00C011BE">
              <w:t>personal protective equipment</w:t>
            </w:r>
          </w:p>
          <w:p w:rsidR="00000000" w:rsidRPr="00C011BE" w:rsidP="00C011BE">
            <w:pPr>
              <w:pStyle w:val="ListBullet2"/>
            </w:pPr>
            <w:r w:rsidRPr="00C011BE">
              <w:t>safety distances</w:t>
            </w:r>
          </w:p>
          <w:p w:rsidR="00000000" w:rsidRPr="00C011BE" w:rsidP="00C011BE">
            <w:pPr>
              <w:pStyle w:val="ListBullet2"/>
            </w:pPr>
            <w:r w:rsidRPr="00C011BE">
              <w:t>safety equipment</w:t>
            </w:r>
          </w:p>
          <w:p w:rsidR="00000000" w:rsidRPr="00C011BE" w:rsidP="00C011BE">
            <w:pPr>
              <w:pStyle w:val="ListBullet2"/>
            </w:pPr>
            <w:r w:rsidRPr="00C011BE">
              <w:t>warning devices</w:t>
            </w:r>
          </w:p>
          <w:p w:rsidR="00000000" w:rsidRPr="00C011BE" w:rsidP="00C011BE">
            <w:pPr>
              <w:pStyle w:val="ListBullet"/>
            </w:pPr>
            <w:r w:rsidRPr="00C011BE">
              <w:t>winching equipment manufacturer specifications.</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14" w:name="O_958965"/>
      <w:bookmarkEnd w:id="14"/>
      <w:r w:rsidRPr="00C011BE">
        <w:t>Assessment Conditions</w:t>
      </w:r>
    </w:p>
    <w:tbl>
      <w:tblPr>
        <w:tblW w:w="9497" w:type="dxa"/>
        <w:tblLayout w:type="fixed"/>
        <w:tblCellMar>
          <w:left w:w="62" w:type="dxa"/>
          <w:right w:w="62" w:type="dxa"/>
        </w:tblCellMar>
        <w:tblLook w:val="0000"/>
      </w:tblPr>
      <w:tblGrid>
        <w:gridCol w:w="9497"/>
      </w:tblGrid>
      <w:tr w:rsidTr="00C01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BE" w:rsidP="00C011BE">
            <w:pPr>
              <w:pStyle w:val="BodyText"/>
            </w:pPr>
            <w:r w:rsidRPr="00C011BE">
              <w:t>As a minimum, assessors must satisfy applicable regulatory requirements, which include requirements in the Standards for Registered Training Organisations current at the time of assessment.</w:t>
            </w:r>
          </w:p>
          <w:p w:rsidR="00000000" w:rsidRPr="00C011BE" w:rsidP="00C011BE">
            <w:pPr>
              <w:pStyle w:val="BodyText"/>
            </w:pPr>
            <w:r w:rsidRPr="00C011BE">
              <w:t>As a minimum, assessment must satisfy applicable regulatory requir</w:t>
            </w:r>
            <w:r w:rsidRPr="00C011BE">
              <w:t>ements, which include requirements in the Standards for Registered Training Organisations current at the time of assessment.</w:t>
            </w:r>
          </w:p>
          <w:p w:rsidR="00000000" w:rsidRPr="00C011BE" w:rsidP="00C011BE">
            <w:pPr>
              <w:pStyle w:val="BodyText"/>
            </w:pPr>
            <w:r w:rsidRPr="00C011BE">
              <w:t>Assessment must occur in workplace operational situations where it is appropriate to do so; where this is not appropriate, assessme</w:t>
            </w:r>
            <w:r w:rsidRPr="00C011BE">
              <w:t>nt must occur in simulated workplace operational situations that replicate workplace conditions.</w:t>
            </w:r>
          </w:p>
          <w:p w:rsidR="00000000" w:rsidRPr="00C011BE" w:rsidP="00C011BE">
            <w:pPr>
              <w:pStyle w:val="BodyText"/>
            </w:pPr>
            <w:r w:rsidRPr="00C011BE">
              <w:t>Assessment processes and techniques must be appropriate to the language, literacy and numeracy requirements of the work being performed and the needs of the ca</w:t>
            </w:r>
            <w:r w:rsidRPr="00C011BE">
              <w:t>ndidate.</w:t>
            </w:r>
          </w:p>
          <w:p w:rsidR="00000000" w:rsidRPr="00C011BE" w:rsidP="00C011BE">
            <w:pPr>
              <w:pStyle w:val="BodyText"/>
            </w:pPr>
            <w:r w:rsidRPr="00C011BE">
              <w:t>Resources for assessment must include access to:</w:t>
            </w:r>
          </w:p>
          <w:p w:rsidR="00000000" w:rsidRPr="00C011BE" w:rsidP="00C011BE">
            <w:pPr>
              <w:pStyle w:val="ListBullet"/>
            </w:pPr>
            <w:r w:rsidRPr="00C011BE">
              <w:t>a range of relevant exercises, case studies and/or other simulations</w:t>
            </w:r>
          </w:p>
          <w:p w:rsidR="00000000" w:rsidRPr="00C011BE" w:rsidP="00C011BE">
            <w:pPr>
              <w:pStyle w:val="ListBullet"/>
            </w:pPr>
            <w:r w:rsidRPr="00C011BE">
              <w:t>relevant and appropriate materials, tools, equipment and personal protective equipment currently used in industry</w:t>
            </w:r>
          </w:p>
          <w:p w:rsidR="00000000" w:rsidRPr="00C011BE" w:rsidP="00C011BE">
            <w:pPr>
              <w:pStyle w:val="ListBullet"/>
            </w:pPr>
            <w:r w:rsidRPr="00C011BE">
              <w:t>recovery vehic</w:t>
            </w:r>
            <w:r w:rsidRPr="00C011BE">
              <w:t>les and winching equipment</w:t>
            </w:r>
          </w:p>
          <w:p w:rsidR="00000000" w:rsidRPr="00C011BE" w:rsidP="00C011BE">
            <w:pPr>
              <w:pStyle w:val="ListBullet"/>
            </w:pPr>
            <w:r w:rsidRPr="00C011BE">
              <w:t>actual or simulated equipment vehicle casualties</w:t>
            </w:r>
          </w:p>
          <w:p w:rsidR="00000000" w:rsidRPr="00C011BE" w:rsidP="00C011BE">
            <w:pPr>
              <w:pStyle w:val="ListBullet"/>
            </w:pPr>
            <w:r w:rsidRPr="00C011BE">
              <w:t>applicable documentation including relevant organisational workplace procedures, publications, regulations, codes of practice and operation manuals.</w:t>
            </w:r>
          </w:p>
        </w:tc>
      </w:tr>
    </w:tbl>
    <w:p w:rsidR="00000000" w:rsidRPr="00C011BE" w:rsidP="00C011BE">
      <w:pPr>
        <w:pStyle w:val="NoPaddingFontSize1"/>
      </w:pPr>
    </w:p>
    <w:p w:rsidR="00000000" w:rsidRPr="00C011BE" w:rsidP="00C011BE">
      <w:pPr>
        <w:pStyle w:val="AllowPageBreak"/>
      </w:pPr>
    </w:p>
    <w:p w:rsidR="00000000" w:rsidRPr="00C011BE" w:rsidP="00C011BE">
      <w:pPr>
        <w:pStyle w:val="Heading1"/>
      </w:pPr>
      <w:bookmarkStart w:id="15" w:name="O_958968"/>
      <w:bookmarkEnd w:id="15"/>
      <w:r w:rsidRPr="00C011BE">
        <w:t>Links</w:t>
      </w:r>
    </w:p>
    <w:p w:rsidR="00000000" w:rsidRPr="00C011BE" w:rsidP="00225BFB">
      <w:pPr>
        <w:pStyle w:val="BodyText"/>
      </w:pPr>
      <w:r w:rsidRPr="00C011B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27C9F">
        <w:rPr>
          <w:rStyle w:val="Hyperlink"/>
        </w:rPr>
        <w:t>https://vetnet.gov.au/Pages/TrainingDocs.aspx?q=6bdbab1e-11ed-4bc9-9cba-9e1a55d4e4a9</w:t>
      </w:r>
      <w:r>
        <w:fldChar w:fldCharType="end"/>
      </w:r>
    </w:p>
    <w:p w:rsidR="00000000" w:rsidRPr="00C011BE" w:rsidP="00C011BE"/>
    <w:sectPr w:rsidSect="00C011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BE" w:rsidRPr="00225BFB" w:rsidP="00225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FB" w:rsidP="00C01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5BFB" w:rsidP="00C011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25BFB" w:rsidP="00C011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BE" w:rsidP="00C011BE">
    <w:pPr>
      <w:pStyle w:val="Footer"/>
      <w:framePr w:wrap="around"/>
    </w:pPr>
    <w:r>
      <w:fldChar w:fldCharType="begin"/>
    </w:r>
    <w:r>
      <w:instrText xml:space="preserve"> DOCPROPERTY  Subject  \* MERGEFORMAT </w:instrText>
    </w:r>
    <w:r>
      <w:fldChar w:fldCharType="separate"/>
    </w:r>
    <w:r w:rsidR="00225BFB">
      <w:t>Approved</w:t>
    </w:r>
    <w:r w:rsidR="00225BFB">
      <w:fldChar w:fldCharType="end"/>
    </w:r>
    <w:r>
      <w:tab/>
      <w:t xml:space="preserve">Page </w:t>
    </w:r>
    <w:r>
      <w:fldChar w:fldCharType="begin"/>
    </w:r>
    <w:r>
      <w:instrText xml:space="preserve"> PAGE  \* Arabic  \* MERGEFORMAT </w:instrText>
    </w:r>
    <w:r>
      <w:fldChar w:fldCharType="separate"/>
    </w:r>
    <w:r w:rsidR="00225B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BFB">
      <w:rPr>
        <w:noProof/>
      </w:rPr>
      <w:t>4</w:t>
    </w:r>
    <w:r>
      <w:rPr>
        <w:noProof/>
      </w:rPr>
      <w:fldChar w:fldCharType="end"/>
    </w:r>
  </w:p>
  <w:p w:rsidR="00C011BE" w:rsidP="00C011BE">
    <w:pPr>
      <w:pStyle w:val="Footer"/>
      <w:framePr w:wrap="around"/>
    </w:pPr>
    <w:r>
      <w:t xml:space="preserve">© Commonwealth of Australia, </w:t>
    </w:r>
    <w:r>
      <w:fldChar w:fldCharType="begin"/>
    </w:r>
    <w:r>
      <w:instrText xml:space="preserve"> DATE  \@ "yyyy"  \* MERGEFORMAT </w:instrText>
    </w:r>
    <w:r>
      <w:fldChar w:fldCharType="separate"/>
    </w:r>
    <w:r w:rsidR="00225BFB">
      <w:rPr>
        <w:noProof/>
      </w:rPr>
      <w:t>2025</w:t>
    </w:r>
    <w:r>
      <w:fldChar w:fldCharType="end"/>
    </w:r>
    <w:r>
      <w:tab/>
    </w:r>
    <w:r>
      <w:fldChar w:fldCharType="begin"/>
    </w:r>
    <w:r>
      <w:instrText xml:space="preserve"> DOCPROPERTY  Author  \* MERGEFORMAT </w:instrText>
    </w:r>
    <w:r>
      <w:fldChar w:fldCharType="separate"/>
    </w:r>
    <w:r w:rsidR="00225BFB">
      <w:t>Public Skills Australia</w:t>
    </w:r>
    <w:r w:rsidR="00225BFB">
      <w:fldChar w:fldCharType="end"/>
    </w:r>
  </w:p>
  <w:p w:rsidR="00C011BE" w:rsidP="00C01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1BE" w:rsidRPr="00225BFB" w:rsidP="00225B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FB" w:rsidRPr="002D2AF8" w:rsidP="00C011BE">
    <w:pPr>
      <w:pStyle w:val="Header"/>
      <w:framePr w:wrap="around"/>
    </w:pPr>
    <w:r>
      <w:fldChar w:fldCharType="begin"/>
    </w:r>
    <w:r>
      <w:instrText xml:space="preserve"> TITLE   \* MERGEFORMAT </w:instrText>
    </w:r>
    <w:r>
      <w:fldChar w:fldCharType="separate"/>
    </w:r>
    <w:r>
      <w:t>DEFVEH002 Extract disabled equipment using winching techniques in a field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5BFB" w:rsidP="00C011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BE" w:rsidRPr="002D2AF8" w:rsidP="00C011BE">
    <w:pPr>
      <w:pStyle w:val="Header"/>
      <w:framePr w:wrap="around"/>
    </w:pPr>
    <w:r>
      <w:fldChar w:fldCharType="begin"/>
    </w:r>
    <w:r>
      <w:instrText xml:space="preserve"> TITLE   \* MERGEFORMAT </w:instrText>
    </w:r>
    <w:r>
      <w:fldChar w:fldCharType="separate"/>
    </w:r>
    <w:r w:rsidR="00225BFB">
      <w:t>DEFVEH002 Extract disabled equipment using winching techniques in a field environment</w:t>
    </w:r>
    <w:r w:rsidR="00225BFB">
      <w:fldChar w:fldCharType="end"/>
    </w:r>
    <w:r>
      <w:tab/>
      <w:t xml:space="preserve">Date this document was generated: </w:t>
    </w:r>
    <w:r>
      <w:fldChar w:fldCharType="begin"/>
    </w:r>
    <w:r>
      <w:instrText xml:space="preserve"> CREATEDATE  \@ "d MMMM yyyy"  \* MERGEFORMAT </w:instrText>
    </w:r>
    <w:r>
      <w:fldChar w:fldCharType="separate"/>
    </w:r>
    <w:r w:rsidR="00225BFB">
      <w:rPr>
        <w:noProof/>
      </w:rPr>
      <w:t>1 March 2025</w:t>
    </w:r>
    <w:r>
      <w:fldChar w:fldCharType="end"/>
    </w:r>
  </w:p>
  <w:p w:rsidR="00C011BE" w:rsidP="00C01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B66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CA6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B60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1BE"/>
    <w:pPr>
      <w:spacing w:before="360" w:after="60"/>
      <w:outlineLvl w:val="0"/>
    </w:pPr>
    <w:rPr>
      <w:sz w:val="32"/>
    </w:rPr>
  </w:style>
  <w:style w:type="paragraph" w:styleId="Heading2">
    <w:name w:val="heading 2"/>
    <w:basedOn w:val="HeadingBase"/>
    <w:next w:val="BodyText"/>
    <w:link w:val="Heading2Char"/>
    <w:qFormat/>
    <w:rsid w:val="00C011BE"/>
    <w:pPr>
      <w:keepLines/>
      <w:spacing w:before="240" w:after="120"/>
      <w:outlineLvl w:val="1"/>
    </w:pPr>
    <w:rPr>
      <w:sz w:val="28"/>
      <w:szCs w:val="40"/>
    </w:rPr>
  </w:style>
  <w:style w:type="paragraph" w:styleId="Heading3">
    <w:name w:val="heading 3"/>
    <w:basedOn w:val="HeadingBase"/>
    <w:next w:val="BodyText"/>
    <w:link w:val="Heading3Char"/>
    <w:qFormat/>
    <w:rsid w:val="00C011BE"/>
    <w:pPr>
      <w:spacing w:before="180" w:after="120"/>
      <w:outlineLvl w:val="2"/>
    </w:pPr>
    <w:rPr>
      <w:spacing w:val="-10"/>
      <w:kern w:val="32"/>
    </w:rPr>
  </w:style>
  <w:style w:type="paragraph" w:styleId="Heading4">
    <w:name w:val="heading 4"/>
    <w:basedOn w:val="HeadingBase"/>
    <w:next w:val="BodyText"/>
    <w:link w:val="Heading4Char"/>
    <w:qFormat/>
    <w:rsid w:val="00C011BE"/>
    <w:pPr>
      <w:spacing w:before="160" w:after="120"/>
      <w:outlineLvl w:val="3"/>
    </w:pPr>
    <w:rPr>
      <w:sz w:val="22"/>
    </w:rPr>
  </w:style>
  <w:style w:type="paragraph" w:styleId="Heading5">
    <w:name w:val="heading 5"/>
    <w:basedOn w:val="HeadingBase"/>
    <w:next w:val="Normal"/>
    <w:link w:val="Heading5Char"/>
    <w:qFormat/>
    <w:rsid w:val="00C011BE"/>
    <w:pPr>
      <w:spacing w:before="80"/>
      <w:outlineLvl w:val="4"/>
    </w:pPr>
    <w:rPr>
      <w:color w:val="918585"/>
      <w:sz w:val="20"/>
    </w:rPr>
  </w:style>
  <w:style w:type="paragraph" w:styleId="Heading6">
    <w:name w:val="heading 6"/>
    <w:basedOn w:val="HeadingBase"/>
    <w:next w:val="Normal"/>
    <w:link w:val="Heading6Char"/>
    <w:qFormat/>
    <w:rsid w:val="00C011BE"/>
    <w:pPr>
      <w:spacing w:before="60"/>
      <w:outlineLvl w:val="5"/>
    </w:pPr>
    <w:rPr>
      <w:color w:val="918585"/>
      <w:sz w:val="20"/>
    </w:rPr>
  </w:style>
  <w:style w:type="paragraph" w:styleId="Heading7">
    <w:name w:val="heading 7"/>
    <w:basedOn w:val="Normal"/>
    <w:next w:val="Normal"/>
    <w:link w:val="Heading7Char"/>
    <w:qFormat/>
    <w:rsid w:val="00C011BE"/>
    <w:pPr>
      <w:ind w:left="720"/>
      <w:outlineLvl w:val="6"/>
    </w:pPr>
    <w:rPr>
      <w:i/>
    </w:rPr>
  </w:style>
  <w:style w:type="paragraph" w:styleId="Heading8">
    <w:name w:val="heading 8"/>
    <w:basedOn w:val="Normal"/>
    <w:next w:val="Normal"/>
    <w:link w:val="Heading8Char"/>
    <w:qFormat/>
    <w:rsid w:val="00C011BE"/>
    <w:pPr>
      <w:ind w:left="720"/>
      <w:outlineLvl w:val="7"/>
    </w:pPr>
    <w:rPr>
      <w:i/>
    </w:rPr>
  </w:style>
  <w:style w:type="paragraph" w:styleId="Heading9">
    <w:name w:val="heading 9"/>
    <w:basedOn w:val="Normal"/>
    <w:next w:val="Normal"/>
    <w:link w:val="Heading9Char"/>
    <w:qFormat/>
    <w:rsid w:val="00C011BE"/>
    <w:pPr>
      <w:ind w:left="720"/>
      <w:outlineLvl w:val="8"/>
    </w:pPr>
    <w:rPr>
      <w:i/>
    </w:rPr>
  </w:style>
  <w:style w:type="character" w:default="1" w:styleId="DefaultParagraphFont">
    <w:name w:val="Default Paragraph Font"/>
    <w:uiPriority w:val="1"/>
    <w:unhideWhenUsed/>
    <w:rsid w:val="00C01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1BE"/>
  </w:style>
  <w:style w:type="character" w:customStyle="1" w:styleId="Heading1Char">
    <w:name w:val="Heading 1 Char"/>
    <w:basedOn w:val="DefaultParagraphFont"/>
    <w:link w:val="Heading1"/>
    <w:rsid w:val="00C011BE"/>
    <w:rPr>
      <w:rFonts w:ascii="Times New Roman" w:eastAsia="Times New Roman" w:hAnsi="Times New Roman" w:cs="Times New Roman"/>
      <w:b/>
      <w:sz w:val="32"/>
      <w:szCs w:val="20"/>
      <w:lang w:eastAsia="en-US"/>
    </w:rPr>
  </w:style>
  <w:style w:type="paragraph" w:styleId="BodyText">
    <w:name w:val="Body Text"/>
    <w:basedOn w:val="Normal"/>
    <w:link w:val="BodyTextChar"/>
    <w:rsid w:val="00C01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1BE"/>
    <w:rPr>
      <w:rFonts w:ascii="Times New Roman" w:eastAsia="Times New Roman" w:hAnsi="Times New Roman" w:cs="Times New Roman"/>
      <w:sz w:val="24"/>
      <w:lang w:eastAsia="en-US"/>
    </w:rPr>
  </w:style>
  <w:style w:type="paragraph" w:styleId="ListBullet">
    <w:name w:val="List Bullet"/>
    <w:basedOn w:val="List"/>
    <w:rsid w:val="00C011BE"/>
    <w:pPr>
      <w:numPr>
        <w:numId w:val="12"/>
      </w:numPr>
      <w:tabs>
        <w:tab w:val="clear" w:pos="340"/>
      </w:tabs>
      <w:spacing w:before="40" w:after="40"/>
    </w:pPr>
  </w:style>
  <w:style w:type="character" w:customStyle="1" w:styleId="SpecialBold">
    <w:name w:val="Special Bold"/>
    <w:basedOn w:val="DefaultParagraphFont"/>
    <w:rsid w:val="00C011BE"/>
    <w:rPr>
      <w:b/>
      <w:spacing w:val="0"/>
    </w:rPr>
  </w:style>
  <w:style w:type="paragraph" w:styleId="ListBullet2">
    <w:name w:val="List Bullet 2"/>
    <w:basedOn w:val="List2"/>
    <w:rsid w:val="00C011BE"/>
    <w:pPr>
      <w:numPr>
        <w:numId w:val="13"/>
      </w:numPr>
      <w:tabs>
        <w:tab w:val="clear" w:pos="680"/>
      </w:tabs>
    </w:pPr>
  </w:style>
  <w:style w:type="paragraph" w:customStyle="1" w:styleId="SuperHeading">
    <w:name w:val="SuperHeading"/>
    <w:basedOn w:val="Normal"/>
    <w:rsid w:val="00C011BE"/>
    <w:pPr>
      <w:spacing w:before="240" w:after="120"/>
      <w:outlineLvl w:val="0"/>
    </w:pPr>
    <w:rPr>
      <w:rFonts w:ascii="Times New Roman" w:hAnsi="Times New Roman"/>
      <w:b/>
      <w:sz w:val="32"/>
    </w:rPr>
  </w:style>
  <w:style w:type="paragraph" w:customStyle="1" w:styleId="AllowPageBreak">
    <w:name w:val="AllowPageBreak"/>
    <w:rsid w:val="00C011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1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1BE"/>
    <w:rPr>
      <w:rFonts w:ascii="Courier New" w:eastAsia="Times New Roman" w:hAnsi="Courier New" w:cs="Times New Roman"/>
      <w:i/>
      <w:szCs w:val="20"/>
      <w:lang w:eastAsia="en-US"/>
    </w:rPr>
  </w:style>
  <w:style w:type="paragraph" w:customStyle="1" w:styleId="HeadingBase">
    <w:name w:val="Heading Base"/>
    <w:rsid w:val="00C01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1BE"/>
    <w:pPr>
      <w:tabs>
        <w:tab w:val="right" w:leader="dot" w:pos="9072"/>
      </w:tabs>
      <w:ind w:left="567"/>
    </w:pPr>
    <w:rPr>
      <w:szCs w:val="22"/>
    </w:rPr>
  </w:style>
  <w:style w:type="paragraph" w:customStyle="1" w:styleId="TOCBase">
    <w:name w:val="TOC Base"/>
    <w:rsid w:val="00C01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1BE"/>
    <w:pPr>
      <w:tabs>
        <w:tab w:val="right" w:leader="dot" w:pos="9072"/>
      </w:tabs>
      <w:spacing w:before="40" w:after="40"/>
      <w:ind w:left="284"/>
    </w:pPr>
    <w:rPr>
      <w:rFonts w:ascii="Times New Roman" w:hAnsi="Times New Roman"/>
    </w:rPr>
  </w:style>
  <w:style w:type="paragraph" w:styleId="TOC1">
    <w:name w:val="toc 1"/>
    <w:basedOn w:val="TOCBase"/>
    <w:next w:val="Normal"/>
    <w:rsid w:val="00C01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1BE"/>
    <w:rPr>
      <w:rFonts w:ascii="Times New Roman" w:eastAsia="Times New Roman" w:hAnsi="Times New Roman" w:cs="Times New Roman"/>
      <w:sz w:val="16"/>
      <w:lang w:eastAsia="en-US"/>
    </w:rPr>
  </w:style>
  <w:style w:type="paragraph" w:styleId="Title">
    <w:name w:val="Title"/>
    <w:basedOn w:val="HeadingBase"/>
    <w:link w:val="TitleChar"/>
    <w:qFormat/>
    <w:rsid w:val="00C011BE"/>
    <w:pPr>
      <w:spacing w:before="5040"/>
      <w:jc w:val="center"/>
    </w:pPr>
    <w:rPr>
      <w:sz w:val="48"/>
      <w:szCs w:val="72"/>
      <w:lang w:val="en-US"/>
    </w:rPr>
  </w:style>
  <w:style w:type="character" w:customStyle="1" w:styleId="TitleChar">
    <w:name w:val="Title Char"/>
    <w:basedOn w:val="DefaultParagraphFont"/>
    <w:link w:val="Title"/>
    <w:rsid w:val="00C01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1BE"/>
    <w:pPr>
      <w:tabs>
        <w:tab w:val="left" w:pos="3600"/>
        <w:tab w:val="left" w:pos="3958"/>
      </w:tabs>
    </w:pPr>
  </w:style>
  <w:style w:type="paragraph" w:styleId="List">
    <w:name w:val="List"/>
    <w:basedOn w:val="BodyText"/>
    <w:next w:val="BodyText"/>
    <w:rsid w:val="00C011BE"/>
    <w:pPr>
      <w:tabs>
        <w:tab w:val="left" w:pos="340"/>
      </w:tabs>
      <w:spacing w:before="60" w:after="60"/>
      <w:ind w:left="340" w:hanging="340"/>
    </w:pPr>
  </w:style>
  <w:style w:type="paragraph" w:customStyle="1" w:styleId="Note">
    <w:name w:val="Note"/>
    <w:basedOn w:val="BodyText"/>
    <w:rsid w:val="00C01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1BE"/>
    <w:pPr>
      <w:framePr w:wrap="auto" w:hAnchor="text" w:y="6049"/>
    </w:pPr>
    <w:rPr>
      <w:color w:val="000000"/>
      <w:sz w:val="40"/>
    </w:rPr>
  </w:style>
  <w:style w:type="paragraph" w:customStyle="1" w:styleId="TOCTitle">
    <w:name w:val="TOCTitle"/>
    <w:basedOn w:val="Heading1"/>
    <w:rsid w:val="00C011BE"/>
    <w:pPr>
      <w:spacing w:after="240"/>
      <w:jc w:val="center"/>
      <w:outlineLvl w:val="9"/>
    </w:pPr>
    <w:rPr>
      <w:caps/>
    </w:rPr>
  </w:style>
  <w:style w:type="paragraph" w:customStyle="1" w:styleId="Version">
    <w:name w:val="Version"/>
    <w:rsid w:val="00C01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1BE"/>
    <w:pPr>
      <w:keepNext w:val="0"/>
      <w:tabs>
        <w:tab w:val="right" w:pos="4176"/>
      </w:tabs>
      <w:ind w:left="198" w:hanging="198"/>
    </w:pPr>
    <w:rPr>
      <w:rFonts w:ascii="Garamond" w:hAnsi="Garamond"/>
    </w:rPr>
  </w:style>
  <w:style w:type="paragraph" w:styleId="IndexHeading">
    <w:name w:val="index heading"/>
    <w:basedOn w:val="Normal"/>
    <w:next w:val="Index1"/>
    <w:semiHidden/>
    <w:rsid w:val="00C011BE"/>
    <w:pPr>
      <w:spacing w:before="120" w:after="120"/>
    </w:pPr>
    <w:rPr>
      <w:rFonts w:ascii="Arial" w:hAnsi="Arial"/>
      <w:b/>
      <w:color w:val="918585"/>
      <w:sz w:val="24"/>
    </w:rPr>
  </w:style>
  <w:style w:type="paragraph" w:styleId="Header">
    <w:name w:val="header"/>
    <w:basedOn w:val="Normal"/>
    <w:link w:val="HeaderChar"/>
    <w:rsid w:val="00C01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1BE"/>
    <w:rPr>
      <w:rFonts w:ascii="Times New Roman" w:eastAsia="Times New Roman" w:hAnsi="Times New Roman" w:cs="Times New Roman"/>
      <w:sz w:val="16"/>
      <w:szCs w:val="20"/>
      <w:lang w:val="en-GB" w:eastAsia="en-US"/>
    </w:rPr>
  </w:style>
  <w:style w:type="paragraph" w:customStyle="1" w:styleId="Chapter">
    <w:name w:val="Chapter"/>
    <w:basedOn w:val="Normal"/>
    <w:rsid w:val="00C011BE"/>
    <w:pPr>
      <w:spacing w:before="240"/>
    </w:pPr>
    <w:rPr>
      <w:rFonts w:ascii="Times New Roman" w:hAnsi="Times New Roman"/>
      <w:smallCaps/>
      <w:spacing w:val="80"/>
      <w:sz w:val="28"/>
    </w:rPr>
  </w:style>
  <w:style w:type="paragraph" w:customStyle="1" w:styleId="InChapter">
    <w:name w:val="InChapter"/>
    <w:basedOn w:val="Heading3"/>
    <w:rsid w:val="00C011BE"/>
    <w:pPr>
      <w:spacing w:after="240"/>
      <w:outlineLvl w:val="9"/>
    </w:pPr>
    <w:rPr>
      <w:noProof/>
    </w:rPr>
  </w:style>
  <w:style w:type="paragraph" w:styleId="Index2">
    <w:name w:val="index 2"/>
    <w:basedOn w:val="Normal"/>
    <w:next w:val="Normal"/>
    <w:semiHidden/>
    <w:rsid w:val="00C011BE"/>
    <w:pPr>
      <w:tabs>
        <w:tab w:val="right" w:pos="4176"/>
      </w:tabs>
      <w:ind w:left="568" w:hanging="284"/>
    </w:pPr>
    <w:rPr>
      <w:rFonts w:ascii="Garamond" w:hAnsi="Garamond"/>
    </w:rPr>
  </w:style>
  <w:style w:type="paragraph" w:customStyle="1" w:styleId="Byline">
    <w:name w:val="Byline"/>
    <w:rsid w:val="00C01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1BE"/>
    <w:pPr>
      <w:tabs>
        <w:tab w:val="clear" w:pos="3600"/>
        <w:tab w:val="clear" w:pos="3958"/>
      </w:tabs>
      <w:jc w:val="right"/>
    </w:pPr>
  </w:style>
  <w:style w:type="character" w:styleId="Emphasis">
    <w:name w:val="Emphasis"/>
    <w:basedOn w:val="DefaultParagraphFont"/>
    <w:qFormat/>
    <w:rsid w:val="00C011BE"/>
    <w:rPr>
      <w:i/>
    </w:rPr>
  </w:style>
  <w:style w:type="paragraph" w:styleId="Caption">
    <w:name w:val="caption"/>
    <w:basedOn w:val="BodyText"/>
    <w:next w:val="Normal"/>
    <w:qFormat/>
    <w:rsid w:val="00C011BE"/>
    <w:pPr>
      <w:framePr w:w="2268" w:hSpace="181" w:vSpace="181" w:wrap="around" w:vAnchor="text" w:hAnchor="page" w:x="1135" w:y="285" w:anchorLock="1"/>
    </w:pPr>
    <w:rPr>
      <w:i/>
    </w:rPr>
  </w:style>
  <w:style w:type="paragraph" w:customStyle="1" w:styleId="MiniTOCTitle">
    <w:name w:val="MiniTOCTitle"/>
    <w:basedOn w:val="Heading4"/>
    <w:rsid w:val="00C011BE"/>
    <w:pPr>
      <w:spacing w:before="240"/>
      <w:outlineLvl w:val="9"/>
    </w:pPr>
    <w:rPr>
      <w:noProof/>
      <w:sz w:val="24"/>
    </w:rPr>
  </w:style>
  <w:style w:type="paragraph" w:customStyle="1" w:styleId="MiniTOCItem">
    <w:name w:val="MiniTOCItem"/>
    <w:basedOn w:val="ListBullet"/>
    <w:rsid w:val="00C011BE"/>
    <w:pPr>
      <w:numPr>
        <w:numId w:val="0"/>
      </w:numPr>
      <w:tabs>
        <w:tab w:val="right" w:leader="dot" w:pos="6521"/>
      </w:tabs>
      <w:spacing w:before="0" w:after="0"/>
    </w:pPr>
  </w:style>
  <w:style w:type="paragraph" w:customStyle="1" w:styleId="TOFTitle">
    <w:name w:val="TOFTitle"/>
    <w:basedOn w:val="TOCTitle"/>
    <w:rsid w:val="00C011BE"/>
  </w:style>
  <w:style w:type="paragraph" w:styleId="TableofFigures">
    <w:name w:val="table of figures"/>
    <w:basedOn w:val="Normal"/>
    <w:next w:val="Normal"/>
    <w:semiHidden/>
    <w:rsid w:val="00C011BE"/>
    <w:pPr>
      <w:tabs>
        <w:tab w:val="right" w:leader="dot" w:pos="9072"/>
      </w:tabs>
      <w:ind w:left="970" w:hanging="403"/>
    </w:pPr>
    <w:rPr>
      <w:rFonts w:ascii="Times New Roman" w:hAnsi="Times New Roman"/>
      <w:b/>
    </w:rPr>
  </w:style>
  <w:style w:type="paragraph" w:styleId="ListNumber">
    <w:name w:val="List Number"/>
    <w:basedOn w:val="List"/>
    <w:rsid w:val="00C011BE"/>
    <w:pPr>
      <w:numPr>
        <w:numId w:val="15"/>
      </w:numPr>
      <w:tabs>
        <w:tab w:val="clear" w:pos="340"/>
      </w:tabs>
    </w:pPr>
  </w:style>
  <w:style w:type="character" w:customStyle="1" w:styleId="WingdingSymbols">
    <w:name w:val="Wingding Symbols"/>
    <w:rsid w:val="00C011BE"/>
    <w:rPr>
      <w:rFonts w:ascii="Wingdings" w:hAnsi="Wingdings"/>
    </w:rPr>
  </w:style>
  <w:style w:type="paragraph" w:customStyle="1" w:styleId="TableHeading">
    <w:name w:val="Table Heading"/>
    <w:basedOn w:val="HeadingBase"/>
    <w:rsid w:val="00C011BE"/>
    <w:pPr>
      <w:keepLines/>
      <w:pBdr>
        <w:bottom w:val="single" w:sz="6" w:space="1" w:color="918585"/>
      </w:pBdr>
      <w:spacing w:before="240"/>
    </w:pPr>
  </w:style>
  <w:style w:type="character" w:customStyle="1" w:styleId="HotSpot">
    <w:name w:val="HotSpot"/>
    <w:rsid w:val="00C011BE"/>
    <w:rPr>
      <w:color w:val="0033CC"/>
      <w:u w:val="none"/>
    </w:rPr>
  </w:style>
  <w:style w:type="paragraph" w:customStyle="1" w:styleId="BodyTextRight">
    <w:name w:val="Body Text Right"/>
    <w:basedOn w:val="BodyText"/>
    <w:rsid w:val="00C011BE"/>
    <w:pPr>
      <w:spacing w:before="0" w:after="0"/>
      <w:jc w:val="right"/>
    </w:pPr>
  </w:style>
  <w:style w:type="paragraph" w:styleId="Index3">
    <w:name w:val="index 3"/>
    <w:basedOn w:val="ListNumber2"/>
    <w:next w:val="Normal"/>
    <w:semiHidden/>
    <w:rsid w:val="00C011BE"/>
    <w:pPr>
      <w:numPr>
        <w:numId w:val="0"/>
      </w:numPr>
      <w:tabs>
        <w:tab w:val="right" w:leader="dot" w:pos="4176"/>
      </w:tabs>
    </w:pPr>
  </w:style>
  <w:style w:type="paragraph" w:styleId="ListNumber2">
    <w:name w:val="List Number 2"/>
    <w:basedOn w:val="List2"/>
    <w:rsid w:val="00C011BE"/>
    <w:pPr>
      <w:numPr>
        <w:numId w:val="10"/>
      </w:numPr>
      <w:tabs>
        <w:tab w:val="clear" w:pos="1060"/>
      </w:tabs>
    </w:pPr>
  </w:style>
  <w:style w:type="paragraph" w:customStyle="1" w:styleId="MarginNote">
    <w:name w:val="Margin Note"/>
    <w:basedOn w:val="BodyText"/>
    <w:rsid w:val="00C01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1BE"/>
    <w:rPr>
      <w:sz w:val="32"/>
    </w:rPr>
  </w:style>
  <w:style w:type="paragraph" w:customStyle="1" w:styleId="HeadingProcedure">
    <w:name w:val="Heading Procedure"/>
    <w:basedOn w:val="HeadingBase"/>
    <w:next w:val="Normal"/>
    <w:rsid w:val="00C011BE"/>
    <w:pPr>
      <w:tabs>
        <w:tab w:val="left" w:pos="0"/>
      </w:tabs>
      <w:spacing w:before="120" w:after="60"/>
    </w:pPr>
    <w:rPr>
      <w:i/>
      <w:color w:val="918585"/>
      <w:sz w:val="22"/>
    </w:rPr>
  </w:style>
  <w:style w:type="paragraph" w:customStyle="1" w:styleId="TableBodyText">
    <w:name w:val="Table Body Text"/>
    <w:basedOn w:val="BodyText"/>
    <w:rsid w:val="00C011BE"/>
    <w:pPr>
      <w:spacing w:before="60" w:after="60"/>
    </w:pPr>
  </w:style>
  <w:style w:type="paragraph" w:styleId="ListContinue">
    <w:name w:val="List Continue"/>
    <w:basedOn w:val="List"/>
    <w:rsid w:val="00C011BE"/>
    <w:pPr>
      <w:ind w:firstLine="0"/>
    </w:pPr>
  </w:style>
  <w:style w:type="paragraph" w:customStyle="1" w:styleId="ListNote">
    <w:name w:val="List Note"/>
    <w:basedOn w:val="List"/>
    <w:rsid w:val="00C011BE"/>
    <w:pPr>
      <w:pBdr>
        <w:top w:val="single" w:sz="6" w:space="2" w:color="918585"/>
        <w:bottom w:val="single" w:sz="6" w:space="2" w:color="918585"/>
      </w:pBdr>
      <w:tabs>
        <w:tab w:val="left" w:pos="1021"/>
      </w:tabs>
      <w:ind w:firstLine="0"/>
    </w:pPr>
  </w:style>
  <w:style w:type="paragraph" w:customStyle="1" w:styleId="Warning">
    <w:name w:val="Warning"/>
    <w:basedOn w:val="BodyText"/>
    <w:rsid w:val="00C011BE"/>
    <w:pPr>
      <w:shd w:val="clear" w:color="auto" w:fill="D9D9D9"/>
      <w:tabs>
        <w:tab w:val="left" w:pos="992"/>
      </w:tabs>
      <w:ind w:left="119" w:right="119"/>
    </w:pPr>
    <w:rPr>
      <w:sz w:val="20"/>
    </w:rPr>
  </w:style>
  <w:style w:type="paragraph" w:customStyle="1" w:styleId="MarginIcons">
    <w:name w:val="Margin Icons"/>
    <w:basedOn w:val="BodyText"/>
    <w:rsid w:val="00C01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1BE"/>
    <w:rPr>
      <w:rFonts w:ascii="Courier New" w:hAnsi="Courier New"/>
    </w:rPr>
  </w:style>
  <w:style w:type="paragraph" w:customStyle="1" w:styleId="NoteBullet">
    <w:name w:val="Note Bullet"/>
    <w:basedOn w:val="Note"/>
    <w:rsid w:val="00C011BE"/>
    <w:pPr>
      <w:tabs>
        <w:tab w:val="clear" w:pos="680"/>
      </w:tabs>
      <w:spacing w:before="60" w:after="60"/>
    </w:pPr>
  </w:style>
  <w:style w:type="paragraph" w:customStyle="1" w:styleId="SubHeading2">
    <w:name w:val="SubHeading2"/>
    <w:basedOn w:val="HeadingBase"/>
    <w:rsid w:val="00C011BE"/>
    <w:pPr>
      <w:spacing w:before="240" w:after="60"/>
    </w:pPr>
    <w:rPr>
      <w:sz w:val="20"/>
    </w:rPr>
  </w:style>
  <w:style w:type="paragraph" w:customStyle="1" w:styleId="SubHeading1">
    <w:name w:val="SubHeading1"/>
    <w:basedOn w:val="HeadingBase"/>
    <w:rsid w:val="00C011BE"/>
    <w:pPr>
      <w:spacing w:before="240" w:after="60"/>
    </w:pPr>
    <w:rPr>
      <w:color w:val="918585"/>
      <w:sz w:val="22"/>
    </w:rPr>
  </w:style>
  <w:style w:type="paragraph" w:customStyle="1" w:styleId="SideHeading">
    <w:name w:val="Side Heading"/>
    <w:basedOn w:val="HeadingBase"/>
    <w:rsid w:val="00C01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1BE"/>
    <w:pPr>
      <w:tabs>
        <w:tab w:val="num" w:pos="360"/>
      </w:tabs>
    </w:pPr>
  </w:style>
  <w:style w:type="paragraph" w:styleId="PlainText">
    <w:name w:val="Plain Text"/>
    <w:basedOn w:val="Normal"/>
    <w:link w:val="PlainTextChar"/>
    <w:rsid w:val="00C011BE"/>
    <w:rPr>
      <w:sz w:val="20"/>
    </w:rPr>
  </w:style>
  <w:style w:type="character" w:customStyle="1" w:styleId="PlainTextChar">
    <w:name w:val="Plain Text Char"/>
    <w:basedOn w:val="DefaultParagraphFont"/>
    <w:link w:val="PlainText"/>
    <w:rsid w:val="00C011BE"/>
    <w:rPr>
      <w:rFonts w:ascii="Courier New" w:eastAsia="Times New Roman" w:hAnsi="Courier New" w:cs="Times New Roman"/>
      <w:sz w:val="20"/>
      <w:szCs w:val="20"/>
      <w:lang w:eastAsia="en-US"/>
    </w:rPr>
  </w:style>
  <w:style w:type="character" w:customStyle="1" w:styleId="MenuOption">
    <w:name w:val="Menu Option"/>
    <w:basedOn w:val="DefaultParagraphFont"/>
    <w:rsid w:val="00C011BE"/>
    <w:rPr>
      <w:b/>
      <w:smallCaps/>
    </w:rPr>
  </w:style>
  <w:style w:type="paragraph" w:customStyle="1" w:styleId="TableListNumber">
    <w:name w:val="Table List Number"/>
    <w:basedOn w:val="ListNumber"/>
    <w:rsid w:val="00C011BE"/>
    <w:pPr>
      <w:numPr>
        <w:numId w:val="0"/>
      </w:numPr>
    </w:pPr>
  </w:style>
  <w:style w:type="paragraph" w:styleId="TOC4">
    <w:name w:val="toc 4"/>
    <w:basedOn w:val="TOCBase"/>
    <w:next w:val="Normal"/>
    <w:semiHidden/>
    <w:rsid w:val="00C011BE"/>
    <w:pPr>
      <w:tabs>
        <w:tab w:val="right" w:leader="dot" w:pos="9071"/>
      </w:tabs>
      <w:ind w:left="1701"/>
    </w:pPr>
  </w:style>
  <w:style w:type="paragraph" w:customStyle="1" w:styleId="ListAlpha">
    <w:name w:val="List Alpha"/>
    <w:basedOn w:val="List"/>
    <w:rsid w:val="00C011BE"/>
    <w:pPr>
      <w:numPr>
        <w:numId w:val="9"/>
      </w:numPr>
    </w:pPr>
  </w:style>
  <w:style w:type="paragraph" w:customStyle="1" w:styleId="ListAlpha2">
    <w:name w:val="List Alpha 2"/>
    <w:basedOn w:val="List2"/>
    <w:rsid w:val="00C011BE"/>
    <w:pPr>
      <w:numPr>
        <w:numId w:val="8"/>
      </w:numPr>
    </w:pPr>
  </w:style>
  <w:style w:type="paragraph" w:styleId="List2">
    <w:name w:val="List 2"/>
    <w:basedOn w:val="BodyText"/>
    <w:rsid w:val="00C011BE"/>
    <w:pPr>
      <w:tabs>
        <w:tab w:val="left" w:pos="680"/>
      </w:tabs>
      <w:spacing w:before="60" w:after="60"/>
      <w:ind w:left="680" w:hanging="340"/>
    </w:pPr>
  </w:style>
  <w:style w:type="paragraph" w:styleId="List3">
    <w:name w:val="List 3"/>
    <w:basedOn w:val="BodyText"/>
    <w:rsid w:val="00C011BE"/>
    <w:pPr>
      <w:tabs>
        <w:tab w:val="left" w:pos="1021"/>
      </w:tabs>
      <w:spacing w:before="60" w:after="60"/>
      <w:ind w:left="1020" w:hanging="340"/>
    </w:pPr>
  </w:style>
  <w:style w:type="paragraph" w:styleId="List4">
    <w:name w:val="List 4"/>
    <w:basedOn w:val="BodyText"/>
    <w:rsid w:val="00C011BE"/>
    <w:pPr>
      <w:tabs>
        <w:tab w:val="left" w:pos="1361"/>
      </w:tabs>
      <w:spacing w:before="60" w:after="60"/>
      <w:ind w:left="1361" w:hanging="340"/>
    </w:pPr>
  </w:style>
  <w:style w:type="paragraph" w:styleId="List5">
    <w:name w:val="List 5"/>
    <w:basedOn w:val="BodyText"/>
    <w:rsid w:val="00C011BE"/>
    <w:pPr>
      <w:tabs>
        <w:tab w:val="left" w:pos="1701"/>
      </w:tabs>
      <w:spacing w:before="60" w:after="60"/>
      <w:ind w:left="1701" w:hanging="340"/>
    </w:pPr>
  </w:style>
  <w:style w:type="paragraph" w:styleId="ListBullet3">
    <w:name w:val="List Bullet 3"/>
    <w:basedOn w:val="List3"/>
    <w:rsid w:val="00C011BE"/>
    <w:pPr>
      <w:numPr>
        <w:numId w:val="14"/>
      </w:numPr>
      <w:tabs>
        <w:tab w:val="clear" w:pos="1021"/>
      </w:tabs>
      <w:ind w:left="1037" w:hanging="357"/>
    </w:pPr>
  </w:style>
  <w:style w:type="paragraph" w:styleId="ListBullet4">
    <w:name w:val="List Bullet 4"/>
    <w:basedOn w:val="List4"/>
    <w:rsid w:val="00C011BE"/>
    <w:pPr>
      <w:numPr>
        <w:numId w:val="3"/>
      </w:numPr>
      <w:tabs>
        <w:tab w:val="clear" w:pos="1361"/>
      </w:tabs>
    </w:pPr>
  </w:style>
  <w:style w:type="paragraph" w:styleId="ListBullet5">
    <w:name w:val="List Bullet 5"/>
    <w:basedOn w:val="List5"/>
    <w:rsid w:val="00C011BE"/>
    <w:pPr>
      <w:numPr>
        <w:numId w:val="4"/>
      </w:numPr>
    </w:pPr>
  </w:style>
  <w:style w:type="paragraph" w:styleId="ListContinue2">
    <w:name w:val="List Continue 2"/>
    <w:basedOn w:val="List2"/>
    <w:rsid w:val="00C011BE"/>
    <w:pPr>
      <w:ind w:firstLine="0"/>
    </w:pPr>
  </w:style>
  <w:style w:type="paragraph" w:styleId="ListContinue3">
    <w:name w:val="List Continue 3"/>
    <w:basedOn w:val="List3"/>
    <w:rsid w:val="00C011BE"/>
    <w:pPr>
      <w:ind w:left="1021" w:firstLine="0"/>
    </w:pPr>
  </w:style>
  <w:style w:type="paragraph" w:styleId="ListContinue4">
    <w:name w:val="List Continue 4"/>
    <w:basedOn w:val="List4"/>
    <w:rsid w:val="00C011BE"/>
    <w:pPr>
      <w:ind w:firstLine="0"/>
    </w:pPr>
  </w:style>
  <w:style w:type="paragraph" w:styleId="ListContinue5">
    <w:name w:val="List Continue 5"/>
    <w:basedOn w:val="List5"/>
    <w:rsid w:val="00C011BE"/>
    <w:pPr>
      <w:ind w:firstLine="0"/>
    </w:pPr>
  </w:style>
  <w:style w:type="paragraph" w:styleId="ListNumber3">
    <w:name w:val="List Number 3"/>
    <w:basedOn w:val="List3"/>
    <w:rsid w:val="00C011BE"/>
    <w:pPr>
      <w:numPr>
        <w:numId w:val="5"/>
      </w:numPr>
    </w:pPr>
  </w:style>
  <w:style w:type="paragraph" w:styleId="ListNumber4">
    <w:name w:val="List Number 4"/>
    <w:basedOn w:val="List4"/>
    <w:rsid w:val="00C011BE"/>
    <w:pPr>
      <w:numPr>
        <w:numId w:val="6"/>
      </w:numPr>
    </w:pPr>
  </w:style>
  <w:style w:type="paragraph" w:styleId="ListNumber5">
    <w:name w:val="List Number 5"/>
    <w:basedOn w:val="List5"/>
    <w:rsid w:val="00C011BE"/>
    <w:pPr>
      <w:numPr>
        <w:numId w:val="7"/>
      </w:numPr>
    </w:pPr>
  </w:style>
  <w:style w:type="paragraph" w:styleId="BlockText">
    <w:name w:val="Block Text"/>
    <w:basedOn w:val="Normal"/>
    <w:rsid w:val="00C011BE"/>
    <w:pPr>
      <w:spacing w:after="120"/>
      <w:ind w:left="1440" w:right="1440"/>
    </w:pPr>
  </w:style>
  <w:style w:type="character" w:customStyle="1" w:styleId="Subscript">
    <w:name w:val="Subscript"/>
    <w:basedOn w:val="DefaultParagraphFont"/>
    <w:rsid w:val="00C011BE"/>
    <w:rPr>
      <w:sz w:val="16"/>
      <w:vertAlign w:val="subscript"/>
    </w:rPr>
  </w:style>
  <w:style w:type="character" w:customStyle="1" w:styleId="Superscript">
    <w:name w:val="Superscript"/>
    <w:basedOn w:val="DefaultParagraphFont"/>
    <w:rsid w:val="00C011BE"/>
    <w:rPr>
      <w:sz w:val="16"/>
      <w:vertAlign w:val="superscript"/>
    </w:rPr>
  </w:style>
  <w:style w:type="character" w:customStyle="1" w:styleId="Symbols">
    <w:name w:val="Symbols"/>
    <w:basedOn w:val="DefaultParagraphFont"/>
    <w:rsid w:val="00C011BE"/>
    <w:rPr>
      <w:rFonts w:ascii="Symbol" w:hAnsi="Symbol"/>
    </w:rPr>
  </w:style>
  <w:style w:type="character" w:customStyle="1" w:styleId="MenuOptions">
    <w:name w:val="Menu Options"/>
    <w:basedOn w:val="DefaultParagraphFont"/>
    <w:rsid w:val="00C011BE"/>
    <w:rPr>
      <w:rFonts w:ascii="Arial Narrow" w:hAnsi="Arial Narrow"/>
      <w:smallCaps/>
    </w:rPr>
  </w:style>
  <w:style w:type="character" w:customStyle="1" w:styleId="Buttons">
    <w:name w:val="Buttons"/>
    <w:basedOn w:val="DefaultParagraphFont"/>
    <w:rsid w:val="00C011BE"/>
    <w:rPr>
      <w:b/>
    </w:rPr>
  </w:style>
  <w:style w:type="character" w:customStyle="1" w:styleId="Underlined">
    <w:name w:val="Underlined"/>
    <w:basedOn w:val="DefaultParagraphFont"/>
    <w:rsid w:val="00C011BE"/>
    <w:rPr>
      <w:u w:val="single"/>
    </w:rPr>
  </w:style>
  <w:style w:type="paragraph" w:customStyle="1" w:styleId="TableBodyTextRight">
    <w:name w:val="Table Body Text Right"/>
    <w:basedOn w:val="TableBodyText"/>
    <w:rsid w:val="00C011BE"/>
    <w:pPr>
      <w:widowControl w:val="0"/>
      <w:autoSpaceDE w:val="0"/>
      <w:autoSpaceDN w:val="0"/>
      <w:adjustRightInd w:val="0"/>
      <w:jc w:val="right"/>
    </w:pPr>
    <w:rPr>
      <w:rFonts w:cs="Arial"/>
      <w:szCs w:val="18"/>
    </w:rPr>
  </w:style>
  <w:style w:type="paragraph" w:customStyle="1" w:styleId="CopyrightText">
    <w:name w:val="Copyright Text"/>
    <w:basedOn w:val="BodyText"/>
    <w:rsid w:val="00C011BE"/>
    <w:rPr>
      <w:sz w:val="18"/>
    </w:rPr>
  </w:style>
  <w:style w:type="paragraph" w:customStyle="1" w:styleId="BodySmallRight">
    <w:name w:val="Body Small Right"/>
    <w:basedOn w:val="BodyTextRight"/>
    <w:rsid w:val="00C011BE"/>
    <w:rPr>
      <w:sz w:val="18"/>
      <w:szCs w:val="18"/>
    </w:rPr>
  </w:style>
  <w:style w:type="paragraph" w:customStyle="1" w:styleId="MarginEdition">
    <w:name w:val="Margin Edition"/>
    <w:basedOn w:val="MarginNote"/>
    <w:rsid w:val="00C011BE"/>
    <w:pPr>
      <w:spacing w:before="0" w:after="0"/>
    </w:pPr>
    <w:rPr>
      <w:rFonts w:ascii="Times New Roman" w:hAnsi="Times New Roman"/>
      <w:color w:val="999999"/>
    </w:rPr>
  </w:style>
  <w:style w:type="paragraph" w:customStyle="1" w:styleId="Spacer">
    <w:name w:val="Spacer"/>
    <w:basedOn w:val="Normal"/>
    <w:rsid w:val="00C011BE"/>
    <w:rPr>
      <w:sz w:val="2"/>
      <w:szCs w:val="2"/>
    </w:rPr>
  </w:style>
  <w:style w:type="character" w:customStyle="1" w:styleId="Small">
    <w:name w:val="Small"/>
    <w:basedOn w:val="DefaultParagraphFont"/>
    <w:rsid w:val="00C011BE"/>
    <w:rPr>
      <w:sz w:val="16"/>
    </w:rPr>
  </w:style>
  <w:style w:type="paragraph" w:customStyle="1" w:styleId="WideTable">
    <w:name w:val="Wide Table"/>
    <w:basedOn w:val="Normal"/>
    <w:rsid w:val="00C011BE"/>
    <w:pPr>
      <w:ind w:left="-1418"/>
    </w:pPr>
    <w:rPr>
      <w:sz w:val="2"/>
      <w:szCs w:val="2"/>
    </w:rPr>
  </w:style>
  <w:style w:type="character" w:styleId="PageNumber">
    <w:name w:val="page number"/>
    <w:basedOn w:val="DefaultParagraphFont"/>
    <w:rsid w:val="00C011BE"/>
  </w:style>
  <w:style w:type="paragraph" w:styleId="Quote">
    <w:name w:val="Quote"/>
    <w:basedOn w:val="Heading1"/>
    <w:link w:val="QuoteChar"/>
    <w:qFormat/>
    <w:rsid w:val="00C011BE"/>
    <w:rPr>
      <w:b w:val="0"/>
      <w:sz w:val="72"/>
      <w:szCs w:val="72"/>
      <w:lang w:val="en-NZ"/>
    </w:rPr>
  </w:style>
  <w:style w:type="character" w:customStyle="1" w:styleId="QuoteChar">
    <w:name w:val="Quote Char"/>
    <w:basedOn w:val="DefaultParagraphFont"/>
    <w:link w:val="Quote"/>
    <w:rsid w:val="00C01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1BE"/>
    <w:pPr>
      <w:pageBreakBefore/>
    </w:pPr>
  </w:style>
  <w:style w:type="paragraph" w:customStyle="1" w:styleId="Border">
    <w:name w:val="Border"/>
    <w:basedOn w:val="Normal"/>
    <w:qFormat/>
    <w:rsid w:val="00C01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1BE"/>
    <w:rPr>
      <w:b/>
      <w:bCs/>
      <w:i/>
      <w:iCs/>
      <w:color w:val="auto"/>
    </w:rPr>
  </w:style>
  <w:style w:type="paragraph" w:styleId="IntenseQuote">
    <w:name w:val="Intense Quote"/>
    <w:basedOn w:val="Normal"/>
    <w:next w:val="Normal"/>
    <w:link w:val="IntenseQuoteChar"/>
    <w:uiPriority w:val="30"/>
    <w:qFormat/>
    <w:rsid w:val="00C01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1BE"/>
    <w:rPr>
      <w:smallCaps/>
      <w:color w:val="auto"/>
      <w:u w:val="single"/>
    </w:rPr>
  </w:style>
  <w:style w:type="character" w:styleId="IntenseReference">
    <w:name w:val="Intense Reference"/>
    <w:basedOn w:val="DefaultParagraphFont"/>
    <w:uiPriority w:val="32"/>
    <w:qFormat/>
    <w:rsid w:val="00C011BE"/>
    <w:rPr>
      <w:b/>
      <w:bCs/>
      <w:smallCaps/>
      <w:color w:val="auto"/>
      <w:spacing w:val="5"/>
      <w:u w:val="single"/>
    </w:rPr>
  </w:style>
  <w:style w:type="paragraph" w:customStyle="1" w:styleId="2ColumnHeading">
    <w:name w:val="2Column Heading"/>
    <w:basedOn w:val="BodyText"/>
    <w:qFormat/>
    <w:rsid w:val="00C011BE"/>
    <w:pPr>
      <w:spacing w:after="60"/>
      <w:ind w:left="-2268"/>
    </w:pPr>
    <w:rPr>
      <w:b/>
    </w:rPr>
  </w:style>
  <w:style w:type="paragraph" w:customStyle="1" w:styleId="Heading1TOC">
    <w:name w:val="Heading1 TOC"/>
    <w:basedOn w:val="Normal"/>
    <w:qFormat/>
    <w:rsid w:val="00C011BE"/>
    <w:pPr>
      <w:spacing w:before="240" w:after="120"/>
    </w:pPr>
    <w:rPr>
      <w:rFonts w:ascii="Times New Roman" w:hAnsi="Times New Roman"/>
      <w:b/>
      <w:sz w:val="32"/>
    </w:rPr>
  </w:style>
  <w:style w:type="paragraph" w:customStyle="1" w:styleId="Heading2TOC">
    <w:name w:val="Heading2 TOC"/>
    <w:basedOn w:val="Normal"/>
    <w:qFormat/>
    <w:rsid w:val="00C011BE"/>
    <w:pPr>
      <w:spacing w:before="240" w:after="60"/>
    </w:pPr>
    <w:rPr>
      <w:rFonts w:ascii="Times New Roman" w:hAnsi="Times New Roman"/>
      <w:b/>
      <w:sz w:val="28"/>
    </w:rPr>
  </w:style>
  <w:style w:type="character" w:customStyle="1" w:styleId="Underline">
    <w:name w:val="Underline"/>
    <w:basedOn w:val="DefaultParagraphFont"/>
    <w:qFormat/>
    <w:rsid w:val="00C011BE"/>
    <w:rPr>
      <w:u w:val="single"/>
    </w:rPr>
  </w:style>
  <w:style w:type="character" w:customStyle="1" w:styleId="BoldandItalics">
    <w:name w:val="Bold and Italics"/>
    <w:qFormat/>
    <w:rsid w:val="00C011BE"/>
    <w:rPr>
      <w:b/>
      <w:i/>
      <w:u w:val="none"/>
    </w:rPr>
  </w:style>
  <w:style w:type="paragraph" w:styleId="BalloonText">
    <w:name w:val="Balloon Text"/>
    <w:basedOn w:val="Normal"/>
    <w:link w:val="BalloonTextChar"/>
    <w:rsid w:val="00C011BE"/>
    <w:rPr>
      <w:rFonts w:ascii="Tahoma" w:hAnsi="Tahoma" w:cs="Tahoma"/>
      <w:sz w:val="16"/>
      <w:szCs w:val="16"/>
    </w:rPr>
  </w:style>
  <w:style w:type="character" w:customStyle="1" w:styleId="BalloonTextChar">
    <w:name w:val="Balloon Text Char"/>
    <w:basedOn w:val="DefaultParagraphFont"/>
    <w:link w:val="BalloonText"/>
    <w:rsid w:val="00C01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1BE"/>
    <w:rPr>
      <w:b/>
      <w:color w:val="660033"/>
      <w:spacing w:val="0"/>
    </w:rPr>
  </w:style>
  <w:style w:type="paragraph" w:customStyle="1" w:styleId="Nameditemlist">
    <w:name w:val="Named item list"/>
    <w:basedOn w:val="BodyText"/>
    <w:qFormat/>
    <w:rsid w:val="00C011BE"/>
    <w:pPr>
      <w:tabs>
        <w:tab w:val="left" w:pos="2835"/>
      </w:tabs>
      <w:ind w:left="2835" w:hanging="2835"/>
    </w:pPr>
  </w:style>
  <w:style w:type="paragraph" w:customStyle="1" w:styleId="BodyTextnopadding">
    <w:name w:val="Body Text no padding"/>
    <w:basedOn w:val="BodyText"/>
    <w:qFormat/>
    <w:rsid w:val="00C011BE"/>
    <w:pPr>
      <w:spacing w:before="0" w:after="0"/>
    </w:pPr>
  </w:style>
  <w:style w:type="paragraph" w:customStyle="1" w:styleId="BodyTextBold">
    <w:name w:val="Body Text Bold"/>
    <w:basedOn w:val="BodyText"/>
    <w:qFormat/>
    <w:rsid w:val="00C011BE"/>
    <w:rPr>
      <w:b/>
    </w:rPr>
  </w:style>
  <w:style w:type="character" w:styleId="Hyperlink">
    <w:name w:val="Hyperlink"/>
    <w:basedOn w:val="DefaultParagraphFont"/>
    <w:uiPriority w:val="99"/>
    <w:unhideWhenUsed/>
    <w:rsid w:val="00225B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7584</Characters>
  <Application>Microsoft Office Word</Application>
  <DocSecurity>0</DocSecurity>
  <Lines>280</Lines>
  <Paragraphs>164</Paragraphs>
  <ScaleCrop>false</ScaleCrop>
  <Company>Author-it Software Corporation Ltd.</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DEFVEH002 Extract disabled equipment using winching techniques in a field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