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68D1" w:rsidP="009B68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DEFTST014 Prepare test and evaluation processes</w:t>
      </w:r>
      <w:r>
        <w:fldChar w:fldCharType="end"/>
      </w:r>
    </w:p>
    <w:p w:rsidR="009B68D1" w:rsidP="009B68D1">
      <w:pPr>
        <w:pStyle w:val="Version"/>
        <w:sectPr w:rsidSect="002D1A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1AC0" w:rsidP="002D1AC0">
      <w:pPr>
        <w:pStyle w:val="SuperHeading"/>
      </w:pPr>
      <w:r w:rsidRPr="002D1AC0">
        <w:t>DEFTST014 Prepare test and evaluation processes</w:t>
      </w:r>
    </w:p>
    <w:p w:rsidR="00000000" w:rsidRPr="002D1AC0" w:rsidP="002D1AC0">
      <w:pPr>
        <w:pStyle w:val="Heading1"/>
      </w:pPr>
      <w:bookmarkStart w:id="1" w:name="O_1239790"/>
      <w:bookmarkEnd w:id="1"/>
      <w:r w:rsidRPr="002D1A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 w:rsidP="002D1AC0">
            <w:pPr>
              <w:pStyle w:val="BodyText"/>
            </w:pPr>
            <w:r w:rsidRPr="002D1AC0">
              <w:t>Release 1. This is the first release of this unit of competency in the DEF Defence Training Package.</w:t>
            </w:r>
          </w:p>
        </w:tc>
      </w:tr>
    </w:tbl>
    <w:p w:rsidR="00000000" w:rsidRPr="002D1AC0" w:rsidP="002D1AC0">
      <w:pPr>
        <w:pStyle w:val="NoPaddingFontSize1"/>
      </w:pPr>
    </w:p>
    <w:p w:rsidR="00000000" w:rsidRPr="002D1AC0" w:rsidP="002D1AC0">
      <w:pPr>
        <w:pStyle w:val="AllowPageBreak"/>
      </w:pPr>
    </w:p>
    <w:p w:rsidR="00000000" w:rsidRPr="002D1AC0" w:rsidP="002D1AC0">
      <w:pPr>
        <w:pStyle w:val="Heading1"/>
      </w:pPr>
      <w:bookmarkStart w:id="2" w:name="O_1239791"/>
      <w:bookmarkEnd w:id="2"/>
      <w:r w:rsidRPr="002D1AC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 w:rsidP="002D1AC0">
            <w:pPr>
              <w:pStyle w:val="BodyText"/>
            </w:pPr>
            <w:r w:rsidRPr="002D1AC0">
              <w:t>This unit describes the skills and knowledge required to prepare test and evaluation process</w:t>
            </w:r>
            <w:r w:rsidRPr="002D1AC0">
              <w:t>es.</w:t>
            </w:r>
          </w:p>
          <w:p w:rsidR="00000000" w:rsidRPr="002D1AC0" w:rsidP="002D1AC0">
            <w:pPr>
              <w:pStyle w:val="BodyText"/>
            </w:pPr>
            <w:r w:rsidRPr="002D1AC0">
              <w:t>It includes establishing test and evaluation processes, conducting start-up activities and managing test and evaluation preparedness. It also includes integrating test and evaluation processes and developing, reviewing and maintaining the test plan.</w:t>
            </w:r>
          </w:p>
          <w:p w:rsidR="00000000" w:rsidRPr="002D1AC0" w:rsidP="002D1AC0">
            <w:pPr>
              <w:pStyle w:val="BodyText"/>
            </w:pPr>
            <w:r w:rsidRPr="002D1AC0">
              <w:t>Th</w:t>
            </w:r>
            <w:r w:rsidRPr="002D1AC0">
              <w:t>is unit was developed for Defence test and evaluation workers but is applicable to any individuals who work in this field.</w:t>
            </w:r>
          </w:p>
          <w:p w:rsidR="00000000" w:rsidRPr="002D1AC0" w:rsidP="002D1AC0">
            <w:pPr>
              <w:pStyle w:val="BodyText"/>
            </w:pPr>
            <w:r w:rsidRPr="002D1AC0">
              <w:t>The skills and knowledge described in this unit must be applied within the legislative, regulatory and policy environment in which th</w:t>
            </w:r>
            <w:r w:rsidRPr="002D1AC0">
              <w:t>ey are carried out. Organisational policies and procedures must be consulted and adhered to.</w:t>
            </w:r>
          </w:p>
          <w:p w:rsidR="00000000" w:rsidRPr="002D1AC0" w:rsidP="002D1AC0">
            <w:pPr>
              <w:pStyle w:val="BodyText"/>
            </w:pPr>
            <w:r w:rsidRPr="002D1AC0">
              <w:t>Those undertaking this unit would work independently or as part of a team, under direct and indirect supervision, use discretion and judgement, and take responsibi</w:t>
            </w:r>
            <w:r w:rsidRPr="002D1AC0">
              <w:t>lity for the quality of their output. They would perform sophisticated tasks in a range of contexts.</w:t>
            </w:r>
          </w:p>
          <w:p w:rsidR="00000000" w:rsidRPr="002D1AC0" w:rsidP="002D1AC0">
            <w:pPr>
              <w:pStyle w:val="BodyText"/>
            </w:pPr>
            <w:r w:rsidRPr="002D1AC0">
              <w:t>No licensing, legislative or certification requirements apply to unit at the time of publication.</w:t>
            </w:r>
          </w:p>
        </w:tc>
      </w:tr>
    </w:tbl>
    <w:p w:rsidR="00000000" w:rsidRPr="002D1AC0" w:rsidP="002D1AC0">
      <w:pPr>
        <w:pStyle w:val="NoPaddingFontSize1"/>
      </w:pPr>
    </w:p>
    <w:p w:rsidR="00000000" w:rsidRPr="002D1AC0" w:rsidP="002D1AC0">
      <w:pPr>
        <w:pStyle w:val="AllowPageBreak"/>
      </w:pPr>
    </w:p>
    <w:p w:rsidR="00000000" w:rsidRPr="002D1AC0" w:rsidP="002D1AC0">
      <w:pPr>
        <w:pStyle w:val="Heading1"/>
      </w:pPr>
      <w:bookmarkStart w:id="3" w:name="O_1239792"/>
      <w:bookmarkEnd w:id="3"/>
      <w:r w:rsidRPr="002D1AC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 w:rsidP="002D1AC0">
            <w:pPr>
              <w:pStyle w:val="BodyText"/>
            </w:pPr>
            <w:r w:rsidRPr="002D1AC0">
              <w:t>Not applicable.</w:t>
            </w:r>
          </w:p>
        </w:tc>
      </w:tr>
    </w:tbl>
    <w:p w:rsidR="00000000" w:rsidRPr="002D1AC0" w:rsidP="002D1AC0">
      <w:pPr>
        <w:pStyle w:val="NoPaddingFontSize1"/>
      </w:pPr>
    </w:p>
    <w:p w:rsidR="00000000" w:rsidRPr="002D1AC0" w:rsidP="002D1AC0">
      <w:pPr>
        <w:pStyle w:val="AllowPageBreak"/>
      </w:pPr>
    </w:p>
    <w:p w:rsidR="00000000" w:rsidRPr="002D1AC0" w:rsidP="002D1AC0">
      <w:pPr>
        <w:pStyle w:val="Heading1"/>
      </w:pPr>
      <w:bookmarkStart w:id="4" w:name="O_1239793"/>
      <w:bookmarkEnd w:id="4"/>
      <w:r w:rsidRPr="002D1AC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 w:rsidP="002D1AC0">
            <w:pPr>
              <w:pStyle w:val="BodyText"/>
            </w:pPr>
            <w:r w:rsidRPr="002D1AC0">
              <w:t>Test and Evaluation.</w:t>
            </w:r>
          </w:p>
        </w:tc>
      </w:tr>
    </w:tbl>
    <w:p w:rsidR="00000000" w:rsidRPr="002D1AC0" w:rsidP="002D1AC0">
      <w:pPr>
        <w:pStyle w:val="NoPaddingFontSize1"/>
      </w:pPr>
    </w:p>
    <w:p w:rsidR="00000000" w:rsidRPr="002D1AC0" w:rsidP="002D1AC0">
      <w:pPr>
        <w:pStyle w:val="AllowPageBreak"/>
      </w:pPr>
    </w:p>
    <w:p w:rsidR="00000000" w:rsidRPr="002D1AC0" w:rsidP="002D1AC0">
      <w:pPr>
        <w:pStyle w:val="Heading1"/>
      </w:pPr>
      <w:bookmarkStart w:id="5" w:name="O_1239794"/>
      <w:bookmarkEnd w:id="5"/>
      <w:r w:rsidRPr="002D1AC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 w:rsidP="002D1AC0">
            <w:pPr>
              <w:pStyle w:val="BodyText"/>
            </w:pPr>
            <w:r w:rsidRPr="002D1AC0">
              <w:t>Not applicable.</w:t>
            </w:r>
          </w:p>
        </w:tc>
      </w:tr>
    </w:tbl>
    <w:p w:rsidR="00000000" w:rsidRPr="002D1AC0" w:rsidP="002D1AC0">
      <w:pPr>
        <w:pStyle w:val="NoPaddingFontSize1"/>
      </w:pPr>
    </w:p>
    <w:p w:rsidR="00000000" w:rsidRPr="002D1AC0" w:rsidP="002D1AC0">
      <w:pPr>
        <w:pStyle w:val="AllowPageBreak"/>
      </w:pPr>
    </w:p>
    <w:p w:rsidR="00000000" w:rsidRPr="002D1AC0" w:rsidP="002D1AC0">
      <w:pPr>
        <w:pStyle w:val="Heading1"/>
      </w:pPr>
      <w:bookmarkStart w:id="6" w:name="O_1239795"/>
      <w:bookmarkEnd w:id="6"/>
      <w:r w:rsidRPr="002D1AC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14"/>
        <w:gridCol w:w="2413"/>
        <w:gridCol w:w="1088"/>
        <w:gridCol w:w="5582"/>
      </w:tblGrid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 w:rsidP="002D1AC0">
            <w:pPr>
              <w:pStyle w:val="BodyText"/>
            </w:pPr>
            <w:r w:rsidRPr="002D1AC0">
              <w:rPr>
                <w:rStyle w:val="SpecialBold"/>
              </w:rPr>
              <w:t>ELEMENTS</w:t>
            </w:r>
          </w:p>
        </w:tc>
        <w:tc>
          <w:tcPr>
            <w:tcW w:w="6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rPr>
                <w:rStyle w:val="SpecialBold"/>
              </w:rPr>
              <w:t>PERFORMANCE CRITERIA</w:t>
            </w:r>
          </w:p>
        </w:tc>
      </w:tr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t xml:space="preserve">Elements describe the </w:t>
            </w:r>
            <w:r w:rsidRPr="002D1AC0">
              <w:t>essential outcomes.</w:t>
            </w:r>
          </w:p>
        </w:tc>
        <w:tc>
          <w:tcPr>
            <w:tcW w:w="6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t xml:space="preserve">Performance criteria describe the performance needed to </w:t>
            </w:r>
            <w:r w:rsidRPr="002D1AC0">
              <w:t xml:space="preserve">demonstrate achievement of the element. </w:t>
            </w:r>
          </w:p>
        </w:tc>
      </w:tr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 w:rsidP="002D1AC0">
            <w:pPr>
              <w:pStyle w:val="BodyText"/>
            </w:pPr>
            <w:r w:rsidRPr="002D1AC0">
              <w:rPr>
                <w:rStyle w:val="SpecialBold"/>
              </w:rPr>
              <w:t>1</w:t>
            </w:r>
          </w:p>
        </w:tc>
        <w:tc>
          <w:tcPr>
            <w:tcW w:w="24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 w:rsidP="002D1AC0">
            <w:pPr>
              <w:pStyle w:val="BodyText"/>
            </w:pPr>
            <w:r w:rsidRPr="002D1AC0">
              <w:rPr>
                <w:rStyle w:val="SpecialBold"/>
              </w:rPr>
              <w:t>Establish test and evaluation processes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rPr>
                <w:rStyle w:val="SpecialBold"/>
              </w:rPr>
              <w:t>1.1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t>Confirm test and evaluation activity objectives with stakeholders</w:t>
            </w:r>
          </w:p>
        </w:tc>
      </w:tr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>
            <w:pPr>
              <w:pStyle w:val="BodyText"/>
              <w:keepLines w:val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rPr>
                <w:rStyle w:val="SpecialBold"/>
              </w:rPr>
              <w:t>1.2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t>Develop test and evaluation plan in ac</w:t>
            </w:r>
            <w:r w:rsidRPr="002D1AC0">
              <w:t>cordance with prescribed standards</w:t>
            </w:r>
          </w:p>
        </w:tc>
      </w:tr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>
            <w:pPr>
              <w:pStyle w:val="BodyText"/>
              <w:keepLines w:val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rPr>
                <w:rStyle w:val="SpecialBold"/>
              </w:rPr>
              <w:t>1.3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t>Confirm test methods with consideration to resource constraints, environmental constraints, evidence requirements, existing capabilities and their compatibility with existing organisational policies and procedures</w:t>
            </w:r>
          </w:p>
        </w:tc>
      </w:tr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>
            <w:pPr>
              <w:pStyle w:val="BodyText"/>
              <w:keepLines w:val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rPr>
                <w:rStyle w:val="SpecialBold"/>
              </w:rPr>
              <w:t>1.4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t>Brief and negotiate with stakeholders to obtain endorsement for test and evaluation process</w:t>
            </w:r>
          </w:p>
        </w:tc>
      </w:tr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>
            <w:pPr>
              <w:pStyle w:val="BodyText"/>
              <w:keepLines w:val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rPr>
                <w:rStyle w:val="SpecialBold"/>
              </w:rPr>
              <w:t>1.5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t>Review and analyse scope and objectives</w:t>
            </w:r>
          </w:p>
        </w:tc>
      </w:tr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>
            <w:pPr>
              <w:pStyle w:val="BodyText"/>
              <w:keepLines w:val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rPr>
                <w:rStyle w:val="SpecialBold"/>
              </w:rPr>
              <w:t>1.6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t>Develop a strategy establishing work breakdown structures in order to implement test and evaluation pro</w:t>
            </w:r>
            <w:r w:rsidRPr="002D1AC0">
              <w:t>cess</w:t>
            </w:r>
          </w:p>
        </w:tc>
      </w:tr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>
            <w:pPr>
              <w:pStyle w:val="BodyText"/>
              <w:keepLines w:val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rPr>
                <w:rStyle w:val="SpecialBold"/>
              </w:rPr>
              <w:t>1.7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t>Identify and establish test infrastructure, as appropriate</w:t>
            </w:r>
          </w:p>
        </w:tc>
      </w:tr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>
            <w:pPr>
              <w:pStyle w:val="BodyText"/>
              <w:keepLines w:val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rPr>
                <w:rStyle w:val="SpecialBold"/>
              </w:rPr>
              <w:t>1.8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t>Identify and establish safety systems and procedures</w:t>
            </w:r>
          </w:p>
        </w:tc>
      </w:tr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>
            <w:pPr>
              <w:pStyle w:val="BodyText"/>
              <w:keepLines w:val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rPr>
                <w:rStyle w:val="SpecialBold"/>
              </w:rPr>
              <w:t>1.9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t>Identify and obtain specialist and technical support relevant to the test and evaluation</w:t>
            </w:r>
          </w:p>
        </w:tc>
      </w:tr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>
            <w:pPr>
              <w:pStyle w:val="BodyText"/>
              <w:keepLines w:val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rPr>
                <w:rStyle w:val="SpecialBold"/>
              </w:rPr>
              <w:t>1.10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t>Maintain security and confidentiality of data</w:t>
            </w:r>
          </w:p>
        </w:tc>
      </w:tr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>
            <w:pPr>
              <w:pStyle w:val="BodyText"/>
              <w:keepLines w:val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rPr>
                <w:rStyle w:val="SpecialBold"/>
              </w:rPr>
              <w:t>1.11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t>Establish governance structure and processes as detailed in test plan</w:t>
            </w:r>
          </w:p>
        </w:tc>
      </w:tr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>
            <w:pPr>
              <w:pStyle w:val="BodyText"/>
              <w:keepLines w:val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rPr>
                <w:rStyle w:val="SpecialBold"/>
              </w:rPr>
              <w:t>1.12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t>Define expected test outcomes in a measurable and achievable format</w:t>
            </w:r>
          </w:p>
        </w:tc>
      </w:tr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 w:rsidP="002D1AC0">
            <w:pPr>
              <w:pStyle w:val="BodyText"/>
            </w:pPr>
            <w:r w:rsidRPr="002D1AC0">
              <w:rPr>
                <w:rStyle w:val="SpecialBold"/>
              </w:rPr>
              <w:t>2</w:t>
            </w:r>
          </w:p>
        </w:tc>
        <w:tc>
          <w:tcPr>
            <w:tcW w:w="24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 w:rsidP="002D1AC0">
            <w:pPr>
              <w:pStyle w:val="BodyText"/>
            </w:pPr>
            <w:r w:rsidRPr="002D1AC0">
              <w:rPr>
                <w:rStyle w:val="SpecialBold"/>
              </w:rPr>
              <w:t>Determine start-up activities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rPr>
                <w:rStyle w:val="SpecialBold"/>
              </w:rPr>
              <w:t>2.1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t>Refine test plans in consultation with steering committee and team members, and include precise details for schedules of activities, milestones and resources</w:t>
            </w:r>
          </w:p>
        </w:tc>
      </w:tr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>
            <w:pPr>
              <w:pStyle w:val="BodyText"/>
              <w:keepLines w:val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rPr>
                <w:rStyle w:val="SpecialBold"/>
              </w:rPr>
              <w:t>2.2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t>Establish and maintain required systems throughout the process in accordance with the compl</w:t>
            </w:r>
            <w:r w:rsidRPr="002D1AC0">
              <w:t>exity of the test and evaluation activity and in line with the test plan</w:t>
            </w:r>
          </w:p>
        </w:tc>
      </w:tr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>
            <w:pPr>
              <w:pStyle w:val="BodyText"/>
              <w:keepLines w:val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rPr>
                <w:rStyle w:val="SpecialBold"/>
              </w:rPr>
              <w:t>2.3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t>Establish data capture methods</w:t>
            </w:r>
          </w:p>
        </w:tc>
      </w:tr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>
            <w:pPr>
              <w:pStyle w:val="BodyText"/>
              <w:keepLines w:val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rPr>
                <w:rStyle w:val="SpecialBold"/>
              </w:rPr>
              <w:t>2.4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t xml:space="preserve">Confirm team members’ roles and responsibilities for </w:t>
            </w:r>
            <w:r w:rsidRPr="002D1AC0">
              <w:t>the duration of the process</w:t>
            </w:r>
          </w:p>
        </w:tc>
      </w:tr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>
            <w:pPr>
              <w:pStyle w:val="BodyText"/>
              <w:keepLines w:val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rPr>
                <w:rStyle w:val="SpecialBold"/>
              </w:rPr>
              <w:t>2.5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t>Confirm team members’ unde</w:t>
            </w:r>
            <w:r w:rsidRPr="002D1AC0">
              <w:t>rstanding of the test and ability to fulfil the role requirements</w:t>
            </w:r>
          </w:p>
        </w:tc>
      </w:tr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 w:rsidP="002D1AC0">
            <w:pPr>
              <w:pStyle w:val="BodyText"/>
            </w:pPr>
            <w:r w:rsidRPr="002D1AC0">
              <w:rPr>
                <w:rStyle w:val="SpecialBold"/>
              </w:rPr>
              <w:t>3</w:t>
            </w:r>
          </w:p>
        </w:tc>
        <w:tc>
          <w:tcPr>
            <w:tcW w:w="24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 w:rsidP="002D1AC0">
            <w:pPr>
              <w:pStyle w:val="BodyText"/>
            </w:pPr>
            <w:r w:rsidRPr="002D1AC0">
              <w:rPr>
                <w:rStyle w:val="SpecialBold"/>
              </w:rPr>
              <w:t>Manage test and evaluation preparedness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rPr>
                <w:rStyle w:val="SpecialBold"/>
              </w:rPr>
              <w:t>3.1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t>Integrate all aspects of test and evaluation and related processes and establish links to ensure objectives are met in accordance with test pla</w:t>
            </w:r>
            <w:r w:rsidRPr="002D1AC0">
              <w:t>n</w:t>
            </w:r>
          </w:p>
        </w:tc>
      </w:tr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>
            <w:pPr>
              <w:pStyle w:val="BodyText"/>
              <w:keepLines w:val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rPr>
                <w:rStyle w:val="SpecialBold"/>
              </w:rPr>
              <w:t>3.2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t>Request and secure resources</w:t>
            </w:r>
          </w:p>
        </w:tc>
      </w:tr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>
            <w:pPr>
              <w:pStyle w:val="BodyText"/>
              <w:keepLines w:val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rPr>
                <w:rStyle w:val="SpecialBold"/>
              </w:rPr>
              <w:t>3.3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t>Establish consultation and reporting mechanisms in accordance with test plan</w:t>
            </w:r>
          </w:p>
        </w:tc>
      </w:tr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>
            <w:pPr>
              <w:pStyle w:val="BodyText"/>
              <w:keepLines w:val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rPr>
                <w:rStyle w:val="SpecialBold"/>
              </w:rPr>
              <w:t>3.4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t>Consult with organisation test team and enable staff regularly to discuss progress and to ensure effective results</w:t>
            </w:r>
          </w:p>
        </w:tc>
      </w:tr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>
            <w:pPr>
              <w:pStyle w:val="BodyText"/>
              <w:keepLines w:val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rPr>
                <w:rStyle w:val="SpecialBold"/>
              </w:rPr>
              <w:t>3.5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t>Manage integration, and review and amend management plans and any related contracts as appropriate, with results reported in accordance with mechanisms identified in test plan</w:t>
            </w:r>
          </w:p>
        </w:tc>
      </w:tr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>
            <w:pPr>
              <w:pStyle w:val="BodyText"/>
              <w:keepLines w:val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rPr>
                <w:rStyle w:val="SpecialBold"/>
              </w:rPr>
              <w:t>3.6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t>Utilise and apply management tools to achieve outcomes</w:t>
            </w:r>
          </w:p>
        </w:tc>
      </w:tr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>
            <w:pPr>
              <w:pStyle w:val="BodyText"/>
              <w:keepLines w:val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rPr>
                <w:rStyle w:val="SpecialBold"/>
              </w:rPr>
              <w:t>3.7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t>Establish o</w:t>
            </w:r>
            <w:r w:rsidRPr="002D1AC0">
              <w:t>ngoing progress monitoring processes against agreed milestones in accordance with the test plan to provide a measure of performance throughout the life of the test and evaluation process</w:t>
            </w:r>
          </w:p>
        </w:tc>
      </w:tr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>
            <w:pPr>
              <w:pStyle w:val="BodyText"/>
              <w:keepLines w:val="0"/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AC0">
            <w:pPr>
              <w:pStyle w:val="BodyText"/>
              <w:rPr>
                <w:lang w:val="en-NZ"/>
              </w:rPr>
            </w:pPr>
            <w:r w:rsidRPr="002D1AC0">
              <w:rPr>
                <w:rStyle w:val="SpecialBold"/>
              </w:rPr>
              <w:t>3.8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 w:rsidP="002D1AC0">
            <w:pPr>
              <w:pStyle w:val="BodyText"/>
            </w:pPr>
            <w:r w:rsidRPr="002D1AC0">
              <w:t>Conduct test readiness review</w:t>
            </w:r>
          </w:p>
        </w:tc>
      </w:tr>
    </w:tbl>
    <w:p w:rsidR="00000000" w:rsidRPr="002D1AC0" w:rsidP="002D1AC0">
      <w:pPr>
        <w:pStyle w:val="NoPaddingFontSize1"/>
      </w:pPr>
    </w:p>
    <w:p w:rsidR="00000000" w:rsidRPr="002D1AC0" w:rsidP="002D1AC0">
      <w:pPr>
        <w:pStyle w:val="AllowPageBreak"/>
      </w:pPr>
    </w:p>
    <w:p w:rsidR="00000000" w:rsidRPr="002D1AC0" w:rsidP="002D1AC0">
      <w:pPr>
        <w:pStyle w:val="Heading1"/>
      </w:pPr>
      <w:bookmarkStart w:id="7" w:name="O_1239796"/>
      <w:bookmarkEnd w:id="7"/>
      <w:r w:rsidRPr="002D1AC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 w:rsidP="002D1AC0">
            <w:pPr>
              <w:pStyle w:val="BodyText"/>
            </w:pPr>
            <w:r w:rsidRPr="002D1AC0">
              <w:t>Foundation skills essential to performance are explicit in the performance criteria of this unit of competency.</w:t>
            </w:r>
          </w:p>
        </w:tc>
      </w:tr>
    </w:tbl>
    <w:p w:rsidR="00000000" w:rsidRPr="002D1AC0" w:rsidP="002D1AC0">
      <w:pPr>
        <w:pStyle w:val="NoPaddingFontSize1"/>
      </w:pPr>
    </w:p>
    <w:p w:rsidR="00000000" w:rsidRPr="002D1AC0" w:rsidP="002D1AC0">
      <w:pPr>
        <w:pStyle w:val="AllowPageBreak"/>
      </w:pPr>
    </w:p>
    <w:p w:rsidR="00000000" w:rsidRPr="002D1AC0" w:rsidP="002D1AC0">
      <w:pPr>
        <w:pStyle w:val="Heading1"/>
      </w:pPr>
      <w:bookmarkStart w:id="8" w:name="O_1239797"/>
      <w:bookmarkEnd w:id="8"/>
      <w:r w:rsidRPr="002D1AC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 w:rsidP="002D1AC0">
            <w:pPr>
              <w:pStyle w:val="BodyText"/>
            </w:pPr>
            <w:r w:rsidRPr="002D1AC0">
              <w:t>Range is restricted to essential operating conditions and any other variables essenti</w:t>
            </w:r>
            <w:r w:rsidRPr="002D1AC0">
              <w:t>al to the work environment.</w:t>
            </w:r>
          </w:p>
          <w:p w:rsidR="00000000" w:rsidRPr="002D1AC0" w:rsidP="002D1AC0">
            <w:pPr>
              <w:pStyle w:val="BodyText"/>
            </w:pPr>
            <w:r w:rsidRPr="002D1AC0">
              <w:t>Non-essential conditions may be found in the DEF Defence Training Package Companion Volume Implementation Guide.</w:t>
            </w:r>
          </w:p>
        </w:tc>
      </w:tr>
    </w:tbl>
    <w:p w:rsidR="00000000" w:rsidRPr="002D1AC0" w:rsidP="002D1AC0">
      <w:pPr>
        <w:pStyle w:val="NoPaddingFontSize1"/>
      </w:pPr>
    </w:p>
    <w:p w:rsidR="00000000" w:rsidRPr="002D1AC0" w:rsidP="002D1AC0">
      <w:pPr>
        <w:pStyle w:val="AllowPageBreak"/>
      </w:pPr>
    </w:p>
    <w:p w:rsidR="00000000" w:rsidRPr="002D1AC0" w:rsidP="002D1AC0">
      <w:pPr>
        <w:pStyle w:val="Heading1"/>
      </w:pPr>
      <w:bookmarkStart w:id="9" w:name="O_1239798"/>
      <w:bookmarkEnd w:id="9"/>
      <w:r w:rsidRPr="002D1AC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1A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AC0" w:rsidP="002D1AC0">
            <w:pPr>
              <w:pStyle w:val="BodyText"/>
            </w:pPr>
            <w:r w:rsidRPr="002D1AC0">
              <w:t>This unit supersedes and is equivalent to DEFTST002 Prepare testing a</w:t>
            </w:r>
            <w:r w:rsidRPr="002D1AC0">
              <w:t>nd evaluation processes.</w:t>
            </w:r>
          </w:p>
        </w:tc>
      </w:tr>
    </w:tbl>
    <w:p w:rsidR="00000000" w:rsidRPr="002D1AC0" w:rsidP="002D1AC0">
      <w:pPr>
        <w:pStyle w:val="NoPaddingFontSize1"/>
      </w:pPr>
    </w:p>
    <w:p w:rsidR="00000000" w:rsidRPr="002D1AC0" w:rsidP="002D1AC0">
      <w:pPr>
        <w:pStyle w:val="AllowPageBreak"/>
      </w:pPr>
    </w:p>
    <w:p w:rsidR="00000000" w:rsidRPr="002D1AC0" w:rsidP="002D1AC0">
      <w:pPr>
        <w:pStyle w:val="Heading1"/>
      </w:pPr>
      <w:bookmarkStart w:id="10" w:name="O_1239805"/>
      <w:bookmarkEnd w:id="10"/>
      <w:r w:rsidRPr="002D1AC0">
        <w:t>Links</w:t>
      </w:r>
    </w:p>
    <w:p w:rsidR="00000000" w:rsidRPr="002D1AC0" w:rsidP="009B68D1">
      <w:pPr>
        <w:pStyle w:val="BodyText"/>
      </w:pPr>
      <w:r w:rsidRPr="002D1AC0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1227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D1AC0" w:rsidP="002D1AC0"/>
    <w:sectPr w:rsidSect="002D1A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A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AC0" w:rsidRPr="009B68D1" w:rsidP="009B68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A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8D1" w:rsidP="002D1A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68D1" w:rsidP="002D1A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B68D1" w:rsidP="002D1A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A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8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1AC0" w:rsidRPr="009B68D1" w:rsidP="009B68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A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8D1" w:rsidRPr="002D2AF8" w:rsidP="002D1A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DEFTST014 Prepare test and evaluation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B68D1" w:rsidP="002D1A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A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1A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1A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1A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1A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1A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1A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1A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1A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1A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1A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1AC0"/>
  </w:style>
  <w:style w:type="character" w:customStyle="1" w:styleId="Heading1Char">
    <w:name w:val="Heading 1 Char"/>
    <w:basedOn w:val="DefaultParagraphFont"/>
    <w:link w:val="Heading1"/>
    <w:rsid w:val="002D1A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1A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1AC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D1AC0"/>
    <w:rPr>
      <w:b/>
      <w:spacing w:val="0"/>
    </w:rPr>
  </w:style>
  <w:style w:type="paragraph" w:customStyle="1" w:styleId="SuperHeading">
    <w:name w:val="SuperHeading"/>
    <w:basedOn w:val="Normal"/>
    <w:rsid w:val="002D1A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1A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D1A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1A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1A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1A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1A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1A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1A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1A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1A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1A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1A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1A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1A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1A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1A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1A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1A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1A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1A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1AC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D1A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1A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1A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1A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1AC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1A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1A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1A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1A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1A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1A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1A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1A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1A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1AC0"/>
    <w:rPr>
      <w:i/>
    </w:rPr>
  </w:style>
  <w:style w:type="paragraph" w:styleId="Caption">
    <w:name w:val="caption"/>
    <w:basedOn w:val="BodyText"/>
    <w:next w:val="Normal"/>
    <w:qFormat/>
    <w:rsid w:val="002D1A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1A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1A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1AC0"/>
  </w:style>
  <w:style w:type="paragraph" w:styleId="TableofFigures">
    <w:name w:val="table of figures"/>
    <w:basedOn w:val="Normal"/>
    <w:next w:val="Normal"/>
    <w:semiHidden/>
    <w:rsid w:val="002D1A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1AC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D1AC0"/>
    <w:rPr>
      <w:rFonts w:ascii="Wingdings" w:hAnsi="Wingdings"/>
    </w:rPr>
  </w:style>
  <w:style w:type="paragraph" w:customStyle="1" w:styleId="TableHeading">
    <w:name w:val="Table Heading"/>
    <w:basedOn w:val="HeadingBase"/>
    <w:rsid w:val="002D1A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1AC0"/>
    <w:rPr>
      <w:color w:val="0033CC"/>
      <w:u w:val="none"/>
    </w:rPr>
  </w:style>
  <w:style w:type="paragraph" w:customStyle="1" w:styleId="BodyTextRight">
    <w:name w:val="Body Text Right"/>
    <w:basedOn w:val="BodyText"/>
    <w:rsid w:val="002D1A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1A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1AC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1A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1A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1A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1AC0"/>
    <w:rPr>
      <w:sz w:val="32"/>
    </w:rPr>
  </w:style>
  <w:style w:type="paragraph" w:customStyle="1" w:styleId="HeadingProcedure">
    <w:name w:val="Heading Procedure"/>
    <w:basedOn w:val="HeadingBase"/>
    <w:next w:val="Normal"/>
    <w:rsid w:val="002D1A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1AC0"/>
    <w:pPr>
      <w:spacing w:before="60" w:after="60"/>
    </w:pPr>
  </w:style>
  <w:style w:type="paragraph" w:styleId="ListContinue">
    <w:name w:val="List Continue"/>
    <w:basedOn w:val="List"/>
    <w:rsid w:val="002D1AC0"/>
    <w:pPr>
      <w:ind w:firstLine="0"/>
    </w:pPr>
  </w:style>
  <w:style w:type="paragraph" w:customStyle="1" w:styleId="ListNote">
    <w:name w:val="List Note"/>
    <w:basedOn w:val="List"/>
    <w:rsid w:val="002D1A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1A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1A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1AC0"/>
    <w:rPr>
      <w:rFonts w:ascii="Courier New" w:hAnsi="Courier New"/>
    </w:rPr>
  </w:style>
  <w:style w:type="paragraph" w:customStyle="1" w:styleId="NoteBullet">
    <w:name w:val="Note Bullet"/>
    <w:basedOn w:val="Note"/>
    <w:rsid w:val="002D1A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1A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1A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1A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1AC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D1A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1A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1AC0"/>
    <w:rPr>
      <w:b/>
      <w:smallCaps/>
    </w:rPr>
  </w:style>
  <w:style w:type="paragraph" w:customStyle="1" w:styleId="TableListNumber">
    <w:name w:val="Table List Number"/>
    <w:basedOn w:val="ListNumber"/>
    <w:rsid w:val="002D1A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1A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1AC0"/>
    <w:pPr>
      <w:numPr>
        <w:numId w:val="7"/>
      </w:numPr>
    </w:pPr>
  </w:style>
  <w:style w:type="paragraph" w:customStyle="1" w:styleId="ListAlpha2">
    <w:name w:val="List Alpha 2"/>
    <w:basedOn w:val="List2"/>
    <w:rsid w:val="002D1AC0"/>
    <w:pPr>
      <w:numPr>
        <w:numId w:val="6"/>
      </w:numPr>
    </w:pPr>
  </w:style>
  <w:style w:type="paragraph" w:styleId="List2">
    <w:name w:val="List 2"/>
    <w:basedOn w:val="BodyText"/>
    <w:rsid w:val="002D1A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1A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1A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1A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1AC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1AC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D1AC0"/>
    <w:pPr>
      <w:numPr>
        <w:numId w:val="2"/>
      </w:numPr>
    </w:pPr>
  </w:style>
  <w:style w:type="paragraph" w:styleId="ListContinue2">
    <w:name w:val="List Continue 2"/>
    <w:basedOn w:val="List2"/>
    <w:rsid w:val="002D1AC0"/>
    <w:pPr>
      <w:ind w:firstLine="0"/>
    </w:pPr>
  </w:style>
  <w:style w:type="paragraph" w:styleId="ListContinue3">
    <w:name w:val="List Continue 3"/>
    <w:basedOn w:val="List3"/>
    <w:rsid w:val="002D1AC0"/>
    <w:pPr>
      <w:ind w:left="1021" w:firstLine="0"/>
    </w:pPr>
  </w:style>
  <w:style w:type="paragraph" w:styleId="ListContinue4">
    <w:name w:val="List Continue 4"/>
    <w:basedOn w:val="List4"/>
    <w:rsid w:val="002D1AC0"/>
    <w:pPr>
      <w:ind w:firstLine="0"/>
    </w:pPr>
  </w:style>
  <w:style w:type="paragraph" w:styleId="ListContinue5">
    <w:name w:val="List Continue 5"/>
    <w:basedOn w:val="List5"/>
    <w:rsid w:val="002D1AC0"/>
    <w:pPr>
      <w:ind w:firstLine="0"/>
    </w:pPr>
  </w:style>
  <w:style w:type="paragraph" w:styleId="ListNumber3">
    <w:name w:val="List Number 3"/>
    <w:basedOn w:val="List3"/>
    <w:rsid w:val="002D1AC0"/>
    <w:pPr>
      <w:numPr>
        <w:numId w:val="3"/>
      </w:numPr>
    </w:pPr>
  </w:style>
  <w:style w:type="paragraph" w:styleId="ListNumber4">
    <w:name w:val="List Number 4"/>
    <w:basedOn w:val="List4"/>
    <w:rsid w:val="002D1AC0"/>
    <w:pPr>
      <w:numPr>
        <w:numId w:val="4"/>
      </w:numPr>
    </w:pPr>
  </w:style>
  <w:style w:type="paragraph" w:styleId="ListNumber5">
    <w:name w:val="List Number 5"/>
    <w:basedOn w:val="List5"/>
    <w:rsid w:val="002D1AC0"/>
    <w:pPr>
      <w:numPr>
        <w:numId w:val="5"/>
      </w:numPr>
    </w:pPr>
  </w:style>
  <w:style w:type="paragraph" w:styleId="BlockText">
    <w:name w:val="Block Text"/>
    <w:basedOn w:val="Normal"/>
    <w:rsid w:val="002D1A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1A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1AC0"/>
    <w:rPr>
      <w:sz w:val="16"/>
      <w:vertAlign w:val="superscript"/>
    </w:rPr>
  </w:style>
  <w:style w:type="character" w:customStyle="1" w:styleId="Symbols">
    <w:name w:val="Symbols"/>
    <w:basedOn w:val="DefaultParagraphFont"/>
    <w:rsid w:val="002D1AC0"/>
    <w:rPr>
      <w:rFonts w:ascii="Symbol" w:hAnsi="Symbol"/>
    </w:rPr>
  </w:style>
  <w:style w:type="character" w:customStyle="1" w:styleId="MenuOptions">
    <w:name w:val="Menu Options"/>
    <w:basedOn w:val="DefaultParagraphFont"/>
    <w:rsid w:val="002D1A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1AC0"/>
    <w:rPr>
      <w:b/>
    </w:rPr>
  </w:style>
  <w:style w:type="character" w:customStyle="1" w:styleId="Underlined">
    <w:name w:val="Underlined"/>
    <w:basedOn w:val="DefaultParagraphFont"/>
    <w:rsid w:val="002D1AC0"/>
    <w:rPr>
      <w:u w:val="single"/>
    </w:rPr>
  </w:style>
  <w:style w:type="paragraph" w:customStyle="1" w:styleId="TableBodyTextRight">
    <w:name w:val="Table Body Text Right"/>
    <w:basedOn w:val="TableBodyText"/>
    <w:rsid w:val="002D1A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1AC0"/>
    <w:rPr>
      <w:sz w:val="18"/>
    </w:rPr>
  </w:style>
  <w:style w:type="paragraph" w:customStyle="1" w:styleId="BodySmallRight">
    <w:name w:val="Body Small Right"/>
    <w:basedOn w:val="BodyTextRight"/>
    <w:rsid w:val="002D1AC0"/>
    <w:rPr>
      <w:sz w:val="18"/>
      <w:szCs w:val="18"/>
    </w:rPr>
  </w:style>
  <w:style w:type="paragraph" w:customStyle="1" w:styleId="MarginEdition">
    <w:name w:val="Margin Edition"/>
    <w:basedOn w:val="MarginNote"/>
    <w:rsid w:val="002D1A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1AC0"/>
    <w:rPr>
      <w:sz w:val="2"/>
      <w:szCs w:val="2"/>
    </w:rPr>
  </w:style>
  <w:style w:type="character" w:customStyle="1" w:styleId="Small">
    <w:name w:val="Small"/>
    <w:basedOn w:val="DefaultParagraphFont"/>
    <w:rsid w:val="002D1AC0"/>
    <w:rPr>
      <w:sz w:val="16"/>
    </w:rPr>
  </w:style>
  <w:style w:type="paragraph" w:customStyle="1" w:styleId="WideTable">
    <w:name w:val="Wide Table"/>
    <w:basedOn w:val="Normal"/>
    <w:rsid w:val="002D1A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1AC0"/>
  </w:style>
  <w:style w:type="paragraph" w:styleId="Quote">
    <w:name w:val="Quote"/>
    <w:basedOn w:val="Heading1"/>
    <w:link w:val="QuoteChar"/>
    <w:qFormat/>
    <w:rsid w:val="002D1A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1A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1AC0"/>
    <w:pPr>
      <w:pageBreakBefore/>
    </w:pPr>
  </w:style>
  <w:style w:type="paragraph" w:customStyle="1" w:styleId="Border">
    <w:name w:val="Border"/>
    <w:basedOn w:val="Normal"/>
    <w:qFormat/>
    <w:rsid w:val="002D1A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1A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A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A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1A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1A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1A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1A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1A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1AC0"/>
    <w:rPr>
      <w:u w:val="single"/>
    </w:rPr>
  </w:style>
  <w:style w:type="character" w:customStyle="1" w:styleId="BoldandItalics">
    <w:name w:val="Bold and Italics"/>
    <w:qFormat/>
    <w:rsid w:val="002D1AC0"/>
    <w:rPr>
      <w:b/>
      <w:i/>
      <w:u w:val="none"/>
    </w:rPr>
  </w:style>
  <w:style w:type="paragraph" w:styleId="BalloonText">
    <w:name w:val="Balloon Text"/>
    <w:basedOn w:val="Normal"/>
    <w:link w:val="BalloonTextChar"/>
    <w:rsid w:val="002D1A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1A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1A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1A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1A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1A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1AC0"/>
    <w:pPr>
      <w:spacing w:before="0" w:after="0"/>
    </w:pPr>
  </w:style>
  <w:style w:type="paragraph" w:customStyle="1" w:styleId="BodyTextBold">
    <w:name w:val="Body Text Bold"/>
    <w:basedOn w:val="BodyText"/>
    <w:qFormat/>
    <w:rsid w:val="002D1AC0"/>
    <w:rPr>
      <w:b/>
    </w:rPr>
  </w:style>
  <w:style w:type="character" w:styleId="Hyperlink">
    <w:name w:val="Hyperlink"/>
    <w:basedOn w:val="DefaultParagraphFont"/>
    <w:uiPriority w:val="99"/>
    <w:unhideWhenUsed/>
    <w:rsid w:val="009B68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712</Words>
  <Characters>4355</Characters>
  <Application>Microsoft Office Word</Application>
  <DocSecurity>0</DocSecurity>
  <Lines>217</Lines>
  <Paragraphs>107</Paragraphs>
  <ScaleCrop>false</ScaleCrop>
  <Company>Author-it Software Corporation Ltd.</Company>
  <LinksUpToDate>false</LinksUpToDate>
  <CharactersWithSpaces>4960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DEFTST014 Prepare test and evaluation processes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2024-11-07T11:35:00Z</dcterms:created>
  <dcterms:modified xsi:type="dcterms:W3CDTF">2024-11-07T11:35:00Z</dcterms:modified>
</cp:coreProperties>
</file>