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556" w:rsidP="00DB6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DEFTST014 Prepare test and evaluation processes</w:t>
      </w:r>
      <w:r>
        <w:fldChar w:fldCharType="end"/>
      </w:r>
    </w:p>
    <w:p w:rsidR="00DB6556" w:rsidP="00DB6556">
      <w:pPr>
        <w:pStyle w:val="Version"/>
        <w:sectPr w:rsidSect="00E94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283" w:rsidP="00E94283">
      <w:pPr>
        <w:pStyle w:val="SuperHeading"/>
      </w:pPr>
      <w:r w:rsidRPr="00E94283">
        <w:t>DEFTST014 Prepare test and evaluation processes</w:t>
      </w:r>
    </w:p>
    <w:p w:rsidR="00000000" w:rsidRPr="00E94283" w:rsidP="00E94283">
      <w:pPr>
        <w:pStyle w:val="Heading1"/>
      </w:pPr>
      <w:bookmarkStart w:id="1" w:name="O_1239790"/>
      <w:bookmarkEnd w:id="1"/>
      <w:r w:rsidRPr="00E942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Release 1. This is the first release of this unit of competency in the DEF Defence Training Package.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2" w:name="O_1239791"/>
      <w:bookmarkEnd w:id="2"/>
      <w:r w:rsidRPr="00E942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This unit describes the skills and knowledge required to prepare test and evaluation process</w:t>
            </w:r>
            <w:r w:rsidRPr="00E94283">
              <w:t>es.</w:t>
            </w:r>
          </w:p>
          <w:p w:rsidR="00000000" w:rsidRPr="00E94283" w:rsidP="00E94283">
            <w:pPr>
              <w:pStyle w:val="BodyText"/>
            </w:pPr>
            <w:r w:rsidRPr="00E94283">
              <w:t>It includes establishing test and evaluation processes, conducting start-up activities and managing test and evaluation preparedness. It also includes integrating test and evaluation processes and developing, reviewing and maintaining the test plan.</w:t>
            </w:r>
          </w:p>
          <w:p w:rsidR="00000000" w:rsidRPr="00E94283" w:rsidP="00E94283">
            <w:pPr>
              <w:pStyle w:val="BodyText"/>
            </w:pPr>
            <w:r w:rsidRPr="00E94283">
              <w:t>Th</w:t>
            </w:r>
            <w:r w:rsidRPr="00E94283">
              <w:t>is unit was developed for Defence test and evaluation workers but is applicable to any individuals who work in this field.</w:t>
            </w:r>
          </w:p>
          <w:p w:rsidR="00000000" w:rsidRPr="00E94283" w:rsidP="00E94283">
            <w:pPr>
              <w:pStyle w:val="BodyText"/>
            </w:pPr>
            <w:r w:rsidRPr="00E94283">
              <w:t>The skills and knowledge described in this unit must be applied within the legislative, regulatory and policy environment in which th</w:t>
            </w:r>
            <w:r w:rsidRPr="00E94283">
              <w:t>ey are carried out. Organisational policies and procedures must be consulted and adhered to.</w:t>
            </w:r>
          </w:p>
          <w:p w:rsidR="00000000" w:rsidRPr="00E94283" w:rsidP="00E94283">
            <w:pPr>
              <w:pStyle w:val="BodyText"/>
            </w:pPr>
            <w:r w:rsidRPr="00E94283">
              <w:t>Those undertaking this unit would work independently or as part of a team, under direct and indirect supervision, use discretion and judgement, and take responsibi</w:t>
            </w:r>
            <w:r w:rsidRPr="00E94283">
              <w:t>lity for the quality of their output. They would perform sophisticated tasks in a range of contexts.</w:t>
            </w:r>
          </w:p>
          <w:p w:rsidR="00000000" w:rsidRPr="00E94283" w:rsidP="00E94283">
            <w:pPr>
              <w:pStyle w:val="BodyText"/>
            </w:pPr>
            <w:r w:rsidRPr="00E94283">
              <w:t>No licensing, legislative or certification requirements apply to unit at the time of publication.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3" w:name="O_1239792"/>
      <w:bookmarkEnd w:id="3"/>
      <w:r w:rsidRPr="00E942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Not applicable.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4" w:name="O_1239793"/>
      <w:bookmarkEnd w:id="4"/>
      <w:r w:rsidRPr="00E942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Test and Evaluation.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5" w:name="O_1239794"/>
      <w:bookmarkEnd w:id="5"/>
      <w:r w:rsidRPr="00E942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Not applicable.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6" w:name="O_1239795"/>
      <w:bookmarkEnd w:id="6"/>
      <w:r w:rsidRPr="00E942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14"/>
        <w:gridCol w:w="2413"/>
        <w:gridCol w:w="1088"/>
        <w:gridCol w:w="5582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rPr>
                <w:rStyle w:val="SpecialBold"/>
              </w:rPr>
              <w:t>ELEMENTS</w:t>
            </w:r>
          </w:p>
        </w:tc>
        <w:tc>
          <w:tcPr>
            <w:tcW w:w="6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PERFORMANCE CRITERIA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 xml:space="preserve">Elements describe the </w:t>
            </w:r>
            <w:r w:rsidRPr="00E94283">
              <w:t>essential outcomes.</w:t>
            </w:r>
          </w:p>
        </w:tc>
        <w:tc>
          <w:tcPr>
            <w:tcW w:w="6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 xml:space="preserve">Performance criteria describe the performance needed to </w:t>
            </w:r>
            <w:r w:rsidRPr="00E94283">
              <w:t xml:space="preserve">demonstrate achievement of the element. 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rPr>
                <w:rStyle w:val="SpecialBold"/>
              </w:rPr>
              <w:t>1</w:t>
            </w:r>
          </w:p>
        </w:tc>
        <w:tc>
          <w:tcPr>
            <w:tcW w:w="24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rPr>
                <w:rStyle w:val="SpecialBold"/>
              </w:rPr>
              <w:t>Establish test and evaluation processes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Confirm test and evaluation activity objectives with stakeholders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Develop test and evaluation plan in ac</w:t>
            </w:r>
            <w:r w:rsidRPr="00E94283">
              <w:t>cordance with prescribed standards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1.3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Confirm test methods with consideration to resource constraints, environmental constraints, evidence requirements, existing capabilities and their compatibility with existing organisational policies and procedures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1.4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Brief and negotiate with stakeholders to obtain endorsement for test and evaluation process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1.5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Review and analyse scope and objectives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1.6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Develop a strategy establishing work breakdown structures in order to implement test and evaluation pro</w:t>
            </w:r>
            <w:r w:rsidRPr="00E94283">
              <w:t>cess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Identify and establish test infrastructure, as appropriate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Identify and establish safety systems and procedures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1.9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Identify and obtain specialist and technical support relevant to the test and evaluation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1.10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Maintain security and confidentiality of data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1.11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Establish governance structure and processes as detailed in test plan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1.12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Define expected test outcomes in a measurable and achievable format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rPr>
                <w:rStyle w:val="SpecialBold"/>
              </w:rPr>
              <w:t>2</w:t>
            </w:r>
          </w:p>
        </w:tc>
        <w:tc>
          <w:tcPr>
            <w:tcW w:w="24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rPr>
                <w:rStyle w:val="SpecialBold"/>
              </w:rPr>
              <w:t>Determine start-up activities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2.1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Refine test plans in consultation with steering committee and team members, and include precise details for schedules of activities, milestones and resources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2.2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Establish and maintain required systems throughout the process in accordance with the complexity of the test and evaluation activity and in line with the test plan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2.3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Establish data capture methods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2.4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Confirm team members’ roles and responsibilitie</w:t>
            </w:r>
            <w:r w:rsidRPr="00E94283">
              <w:t xml:space="preserve">s for </w:t>
            </w:r>
            <w:r w:rsidRPr="00E94283">
              <w:t>the duration of the process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2.5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Confirm team members’ understanding of the test and ability to fulfil the role requirements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rPr>
                <w:rStyle w:val="SpecialBold"/>
              </w:rPr>
              <w:t>3</w:t>
            </w:r>
          </w:p>
        </w:tc>
        <w:tc>
          <w:tcPr>
            <w:tcW w:w="24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rPr>
                <w:rStyle w:val="SpecialBold"/>
              </w:rPr>
              <w:t>Manage test and evaluation preparedness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Integrate all aspects of test and evaluation and related processes and establish links to ensure objectives are met in accordance with test plan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Request and secure resources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3.3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Establish consultation and reporting mechanisms in accordance with test plan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3.4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Consult with organisation test team and enable staff regularly to discuss progress and to ensure effective results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3.5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Manage integration, and review and amend managemen</w:t>
            </w:r>
            <w:r w:rsidRPr="00E94283">
              <w:t>t plans and any related contracts as appropriate, with results reported in accordance with mechanisms identified in test plan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3.6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Utilise and apply management tools to achieve outcomes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Establish ongoing progress monitoring processes against agreed milestones in accordance with the test plan to provide a measure of performance throughout the life of the test and evaluation process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>
            <w:pPr>
              <w:pStyle w:val="BodyText"/>
              <w:keepLines w:val="0"/>
              <w:spacing w:before="0" w:after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rPr>
                <w:rStyle w:val="SpecialBold"/>
              </w:rPr>
              <w:t>3.8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Conduct test readiness review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7" w:name="O_1239796"/>
      <w:bookmarkEnd w:id="7"/>
      <w:r w:rsidRPr="00E942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Foundation skills essential to performance are explicit in the performance criteria of this unit of competency.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8" w:name="O_1239797"/>
      <w:bookmarkEnd w:id="8"/>
      <w:r w:rsidRPr="00E942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Range is restricted to essential operating conditions and any other variables essential to the work environment.</w:t>
            </w:r>
          </w:p>
          <w:p w:rsidR="00000000" w:rsidRPr="00E94283" w:rsidP="00E94283">
            <w:pPr>
              <w:pStyle w:val="BodyText"/>
            </w:pPr>
            <w:r w:rsidRPr="00E94283">
              <w:t>Non-essential conditions may be found in the DEF Defence Training Package Companion Volume Implementation Guide.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9" w:name="O_1239798"/>
      <w:bookmarkEnd w:id="9"/>
      <w:r w:rsidRPr="00E94283">
        <w:t>Unit Mapp</w:t>
      </w:r>
      <w:r w:rsidRPr="00E94283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This unit supersedes and is equivalent to DEFTST002 Prepare testing and evaluation processes.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10" w:name="O_1239805"/>
      <w:bookmarkEnd w:id="10"/>
      <w:r w:rsidRPr="00E94283">
        <w:t>Links</w:t>
      </w:r>
    </w:p>
    <w:p w:rsidR="00000000" w:rsidRPr="00E94283" w:rsidP="00DB6556">
      <w:pPr>
        <w:pStyle w:val="BodyText"/>
      </w:pPr>
      <w:r w:rsidRPr="00E9428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527E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94283" w:rsidP="00DB6556">
      <w:pPr>
        <w:pStyle w:val="BodyText"/>
        <w:sectPr w:rsidSect="00E942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4283" w:rsidP="00E94283">
      <w:pPr>
        <w:pStyle w:val="SuperHeading"/>
      </w:pPr>
      <w:r w:rsidRPr="00E94283">
        <w:t>Assessment Requirements for DEFTST014 Prepare test and evaluation processes</w:t>
      </w:r>
    </w:p>
    <w:p w:rsidR="00000000" w:rsidRPr="00E94283" w:rsidP="00E94283">
      <w:pPr>
        <w:pStyle w:val="Heading1"/>
      </w:pPr>
      <w:bookmarkStart w:id="11" w:name="O_1239800"/>
      <w:bookmarkEnd w:id="11"/>
      <w:r w:rsidRPr="00E942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>Release 1. This is the first release of this unit of competency in the DEF Defence Training Package.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12" w:name="O_1239801"/>
      <w:bookmarkEnd w:id="12"/>
      <w:r w:rsidRPr="00E942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ListBullet"/>
            </w:pPr>
            <w:r w:rsidRPr="00E94283">
              <w:t>using management techniques related to test and evaluation that m</w:t>
            </w:r>
            <w:r w:rsidRPr="00E94283">
              <w:t xml:space="preserve">ay be reasonably complex in terms of scope; degree of risk; environmental, political, cultural and social factors that apply; consequences of failure and degree of control </w:t>
            </w:r>
          </w:p>
          <w:p w:rsidR="00000000" w:rsidRPr="00E94283" w:rsidP="00E94283">
            <w:pPr>
              <w:pStyle w:val="ListBullet"/>
            </w:pPr>
            <w:r w:rsidRPr="00E94283">
              <w:t>using management tools suited to implementing test and evaluation activities and pr</w:t>
            </w:r>
            <w:r w:rsidRPr="00E94283">
              <w:t>ocesses.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13" w:name="O_1239802"/>
      <w:bookmarkEnd w:id="13"/>
      <w:r w:rsidRPr="00E942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283">
            <w:pPr>
              <w:pStyle w:val="BodyText"/>
              <w:rPr>
                <w:lang w:val="en-NZ"/>
              </w:rPr>
            </w:pPr>
            <w:r w:rsidRPr="00E9428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ListBullet"/>
            </w:pPr>
            <w:r w:rsidRPr="00E94283">
              <w:t xml:space="preserve">change management </w:t>
            </w:r>
          </w:p>
          <w:p w:rsidR="00000000" w:rsidRPr="00E94283" w:rsidP="00E94283">
            <w:pPr>
              <w:pStyle w:val="ListBullet"/>
            </w:pPr>
            <w:r w:rsidRPr="00E94283">
              <w:t>integrated logistics support and resource scheduling packages</w:t>
            </w:r>
          </w:p>
          <w:p w:rsidR="00000000" w:rsidRPr="00E94283" w:rsidP="00E94283">
            <w:pPr>
              <w:pStyle w:val="ListBullet"/>
            </w:pPr>
            <w:r w:rsidRPr="00E94283">
              <w:t xml:space="preserve">legislation, organisational policy and procedures that may impact on the test and evaluation process </w:t>
            </w:r>
          </w:p>
          <w:p w:rsidR="00000000" w:rsidRPr="00E94283" w:rsidP="00E94283">
            <w:pPr>
              <w:pStyle w:val="ListBullet"/>
            </w:pPr>
            <w:r w:rsidRPr="00E94283">
              <w:t xml:space="preserve">management tools suited to planning test and evaluation processes </w:t>
            </w:r>
          </w:p>
          <w:p w:rsidR="00000000" w:rsidRPr="00E94283" w:rsidP="00E94283">
            <w:pPr>
              <w:pStyle w:val="ListBullet"/>
            </w:pPr>
            <w:r w:rsidRPr="00E94283">
              <w:t>principles relating to th</w:t>
            </w:r>
            <w:r w:rsidRPr="00E94283">
              <w:t>e planning phase of test and evaluation processes</w:t>
            </w:r>
          </w:p>
          <w:p w:rsidR="00000000" w:rsidRPr="00E94283" w:rsidP="00E94283">
            <w:pPr>
              <w:pStyle w:val="ListBullet"/>
            </w:pPr>
            <w:r w:rsidRPr="00E94283">
              <w:t>resource plans</w:t>
            </w:r>
          </w:p>
          <w:p w:rsidR="00000000" w:rsidRPr="00E94283" w:rsidP="00E94283">
            <w:pPr>
              <w:pStyle w:val="ListBullet"/>
            </w:pPr>
            <w:r w:rsidRPr="00E94283">
              <w:t>test and evaluation planning methods which may be reasonably complex in terms of scope; degree of risk; environmental, political, cultural and social factors that apply; consequences of failu</w:t>
            </w:r>
            <w:r w:rsidRPr="00E94283">
              <w:t xml:space="preserve">re and degree of control </w:t>
            </w:r>
          </w:p>
          <w:p w:rsidR="00000000" w:rsidRPr="00E94283" w:rsidP="00E94283">
            <w:pPr>
              <w:pStyle w:val="ListBullet"/>
            </w:pPr>
            <w:r w:rsidRPr="00E94283">
              <w:t>test and evaluation process considerations in accordance with organisational requirements.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14" w:name="O_1239803"/>
      <w:bookmarkEnd w:id="14"/>
      <w:r w:rsidRPr="00E942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283" w:rsidP="00E94283">
            <w:pPr>
              <w:pStyle w:val="BodyText"/>
            </w:pPr>
            <w:r w:rsidRPr="00E94283">
              <w:t xml:space="preserve">Assessors must hold credentials specified within the Standards for Registered Training Organisations current at the time of assessment. </w:t>
            </w:r>
          </w:p>
          <w:p w:rsidR="00000000" w:rsidRPr="00E94283" w:rsidP="00E94283">
            <w:pPr>
              <w:pStyle w:val="BodyText"/>
            </w:pPr>
            <w:r w:rsidRPr="00E94283">
              <w:t>Assessment must satisfy the Principles of Assessment and Rules of Evidence and all regulatory requirements included wit</w:t>
            </w:r>
            <w:r w:rsidRPr="00E94283">
              <w:t>hin the Standards for Registered Training Organisations current at the time of assessment.</w:t>
            </w:r>
          </w:p>
          <w:p w:rsidR="00000000" w:rsidRPr="00E94283" w:rsidP="00E94283">
            <w:pPr>
              <w:pStyle w:val="BodyText"/>
            </w:pPr>
            <w:r w:rsidRPr="00E94283">
              <w:t>Assessment must occur in workplace operational situations where it is appropriate to do so; where this is not appropriate, assessment must occur in simulated workpla</w:t>
            </w:r>
            <w:r w:rsidRPr="00E94283">
              <w:t>ce operational situations that replicate workplace conditions.</w:t>
            </w:r>
          </w:p>
          <w:p w:rsidR="00000000" w:rsidRPr="00E94283" w:rsidP="00E94283">
            <w:pPr>
              <w:pStyle w:val="BodyText"/>
            </w:pPr>
            <w:r w:rsidRPr="00E9428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94283" w:rsidP="00E94283">
            <w:pPr>
              <w:pStyle w:val="BodyText"/>
            </w:pPr>
            <w:r w:rsidRPr="00E94283">
              <w:t xml:space="preserve">Resources for assessment </w:t>
            </w:r>
            <w:r w:rsidRPr="00E94283">
              <w:t>must include access to:</w:t>
            </w:r>
          </w:p>
          <w:p w:rsidR="00000000" w:rsidRPr="00E94283" w:rsidP="00E94283">
            <w:pPr>
              <w:pStyle w:val="ListBullet"/>
            </w:pPr>
            <w:r w:rsidRPr="00E94283">
              <w:t>a range of relevant exercises, case studies and/or simulations</w:t>
            </w:r>
          </w:p>
          <w:p w:rsidR="00000000" w:rsidRPr="00E94283" w:rsidP="00E94283">
            <w:pPr>
              <w:pStyle w:val="ListBullet"/>
            </w:pPr>
            <w:r w:rsidRPr="00E94283">
              <w:t>applicable documentation, including legislation, regulations, codes of practice, workplace procedures and operation manuals</w:t>
            </w:r>
          </w:p>
          <w:p w:rsidR="00000000" w:rsidRPr="00E94283" w:rsidP="00E94283">
            <w:pPr>
              <w:pStyle w:val="ListBullet"/>
            </w:pPr>
            <w:r w:rsidRPr="00E94283">
              <w:t>relevant and appropriate materials, tools, e</w:t>
            </w:r>
            <w:r w:rsidRPr="00E94283">
              <w:t>quipment and personal protective equipment (PPE) currently used in industry.</w:t>
            </w:r>
          </w:p>
        </w:tc>
      </w:tr>
    </w:tbl>
    <w:p w:rsidR="00000000" w:rsidRPr="00E94283" w:rsidP="00E94283">
      <w:pPr>
        <w:pStyle w:val="NoPaddingFontSize1"/>
      </w:pPr>
    </w:p>
    <w:p w:rsidR="00000000" w:rsidRPr="00E94283" w:rsidP="00E94283">
      <w:pPr>
        <w:pStyle w:val="AllowPageBreak"/>
      </w:pPr>
    </w:p>
    <w:p w:rsidR="00000000" w:rsidRPr="00E94283" w:rsidP="00E94283">
      <w:pPr>
        <w:pStyle w:val="Heading1"/>
      </w:pPr>
      <w:bookmarkStart w:id="15" w:name="O_1239806"/>
      <w:bookmarkEnd w:id="15"/>
      <w:r w:rsidRPr="00E94283">
        <w:t>Links</w:t>
      </w:r>
    </w:p>
    <w:p w:rsidR="00000000" w:rsidRPr="00E94283" w:rsidP="00DB6556">
      <w:pPr>
        <w:pStyle w:val="BodyText"/>
      </w:pPr>
      <w:r w:rsidRPr="00E9428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527E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94283" w:rsidP="00E94283"/>
    <w:sectPr w:rsidSect="00E942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83" w:rsidRPr="00DB6556" w:rsidP="00DB6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56" w:rsidP="00E94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556" w:rsidP="00E94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6556" w:rsidP="00E942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83" w:rsidP="00E94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6556">
      <w:t>Approved</w:t>
    </w:r>
    <w:r w:rsidR="00DB65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65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6556">
      <w:rPr>
        <w:noProof/>
      </w:rPr>
      <w:t>4</w:t>
    </w:r>
    <w:r>
      <w:rPr>
        <w:noProof/>
      </w:rPr>
      <w:fldChar w:fldCharType="end"/>
    </w:r>
  </w:p>
  <w:p w:rsidR="00E94283" w:rsidP="00E94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65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6556">
      <w:t>Public Skills Australia</w:t>
    </w:r>
    <w:r w:rsidR="00DB6556">
      <w:fldChar w:fldCharType="end"/>
    </w:r>
  </w:p>
  <w:p w:rsidR="00E94283" w:rsidP="00E94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283" w:rsidRPr="00DB6556" w:rsidP="00DB6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56" w:rsidRPr="002D2AF8" w:rsidP="00E94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DEFTST014 Prepare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6556" w:rsidP="00E942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83" w:rsidRPr="002D2AF8" w:rsidP="00E94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6556">
      <w:t>DEFTST014 Prepare test and evaluation processes</w:t>
    </w:r>
    <w:r w:rsidR="00DB65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6556">
      <w:rPr>
        <w:noProof/>
      </w:rPr>
      <w:t>2 March 2025</w:t>
    </w:r>
    <w:r>
      <w:fldChar w:fldCharType="end"/>
    </w:r>
  </w:p>
  <w:p w:rsidR="00E94283" w:rsidP="00E94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60B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A40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283"/>
  </w:style>
  <w:style w:type="character" w:customStyle="1" w:styleId="Heading1Char">
    <w:name w:val="Heading 1 Char"/>
    <w:basedOn w:val="DefaultParagraphFont"/>
    <w:link w:val="Heading1"/>
    <w:rsid w:val="00E94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2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283"/>
    <w:rPr>
      <w:b/>
      <w:spacing w:val="0"/>
    </w:rPr>
  </w:style>
  <w:style w:type="paragraph" w:customStyle="1" w:styleId="SuperHeading">
    <w:name w:val="SuperHeading"/>
    <w:basedOn w:val="Normal"/>
    <w:rsid w:val="00E94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4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283"/>
    <w:rPr>
      <w:i/>
    </w:rPr>
  </w:style>
  <w:style w:type="paragraph" w:styleId="Caption">
    <w:name w:val="caption"/>
    <w:basedOn w:val="BodyText"/>
    <w:next w:val="Normal"/>
    <w:qFormat/>
    <w:rsid w:val="00E94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283"/>
  </w:style>
  <w:style w:type="paragraph" w:styleId="TableofFigures">
    <w:name w:val="table of figures"/>
    <w:basedOn w:val="Normal"/>
    <w:next w:val="Normal"/>
    <w:semiHidden/>
    <w:rsid w:val="00E94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4283"/>
    <w:rPr>
      <w:rFonts w:ascii="Wingdings" w:hAnsi="Wingdings"/>
    </w:rPr>
  </w:style>
  <w:style w:type="paragraph" w:customStyle="1" w:styleId="TableHeading">
    <w:name w:val="Table Heading"/>
    <w:basedOn w:val="HeadingBase"/>
    <w:rsid w:val="00E94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283"/>
    <w:rPr>
      <w:color w:val="0033CC"/>
      <w:u w:val="none"/>
    </w:rPr>
  </w:style>
  <w:style w:type="paragraph" w:customStyle="1" w:styleId="BodyTextRight">
    <w:name w:val="Body Text Right"/>
    <w:basedOn w:val="BodyText"/>
    <w:rsid w:val="00E94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283"/>
    <w:rPr>
      <w:sz w:val="32"/>
    </w:rPr>
  </w:style>
  <w:style w:type="paragraph" w:customStyle="1" w:styleId="HeadingProcedure">
    <w:name w:val="Heading Procedure"/>
    <w:basedOn w:val="HeadingBase"/>
    <w:next w:val="Normal"/>
    <w:rsid w:val="00E94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283"/>
    <w:pPr>
      <w:spacing w:before="60" w:after="60"/>
    </w:pPr>
  </w:style>
  <w:style w:type="paragraph" w:styleId="ListContinue">
    <w:name w:val="List Continue"/>
    <w:basedOn w:val="List"/>
    <w:rsid w:val="00E94283"/>
    <w:pPr>
      <w:ind w:firstLine="0"/>
    </w:pPr>
  </w:style>
  <w:style w:type="paragraph" w:customStyle="1" w:styleId="ListNote">
    <w:name w:val="List Note"/>
    <w:basedOn w:val="List"/>
    <w:rsid w:val="00E94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283"/>
    <w:rPr>
      <w:rFonts w:ascii="Courier New" w:hAnsi="Courier New"/>
    </w:rPr>
  </w:style>
  <w:style w:type="paragraph" w:customStyle="1" w:styleId="NoteBullet">
    <w:name w:val="Note Bullet"/>
    <w:basedOn w:val="Note"/>
    <w:rsid w:val="00E94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4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283"/>
    <w:rPr>
      <w:b/>
      <w:smallCaps/>
    </w:rPr>
  </w:style>
  <w:style w:type="paragraph" w:customStyle="1" w:styleId="TableListNumber">
    <w:name w:val="Table List Number"/>
    <w:basedOn w:val="ListNumber"/>
    <w:rsid w:val="00E94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283"/>
    <w:pPr>
      <w:numPr>
        <w:numId w:val="8"/>
      </w:numPr>
    </w:pPr>
  </w:style>
  <w:style w:type="paragraph" w:customStyle="1" w:styleId="ListAlpha2">
    <w:name w:val="List Alpha 2"/>
    <w:basedOn w:val="List2"/>
    <w:rsid w:val="00E94283"/>
    <w:pPr>
      <w:numPr>
        <w:numId w:val="7"/>
      </w:numPr>
    </w:pPr>
  </w:style>
  <w:style w:type="paragraph" w:styleId="List2">
    <w:name w:val="List 2"/>
    <w:basedOn w:val="BodyText"/>
    <w:rsid w:val="00E94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283"/>
    <w:pPr>
      <w:numPr>
        <w:numId w:val="3"/>
      </w:numPr>
    </w:pPr>
  </w:style>
  <w:style w:type="paragraph" w:styleId="ListContinue2">
    <w:name w:val="List Continue 2"/>
    <w:basedOn w:val="List2"/>
    <w:rsid w:val="00E94283"/>
    <w:pPr>
      <w:ind w:firstLine="0"/>
    </w:pPr>
  </w:style>
  <w:style w:type="paragraph" w:styleId="ListContinue3">
    <w:name w:val="List Continue 3"/>
    <w:basedOn w:val="List3"/>
    <w:rsid w:val="00E94283"/>
    <w:pPr>
      <w:ind w:left="1021" w:firstLine="0"/>
    </w:pPr>
  </w:style>
  <w:style w:type="paragraph" w:styleId="ListContinue4">
    <w:name w:val="List Continue 4"/>
    <w:basedOn w:val="List4"/>
    <w:rsid w:val="00E94283"/>
    <w:pPr>
      <w:ind w:firstLine="0"/>
    </w:pPr>
  </w:style>
  <w:style w:type="paragraph" w:styleId="ListContinue5">
    <w:name w:val="List Continue 5"/>
    <w:basedOn w:val="List5"/>
    <w:rsid w:val="00E94283"/>
    <w:pPr>
      <w:ind w:firstLine="0"/>
    </w:pPr>
  </w:style>
  <w:style w:type="paragraph" w:styleId="ListNumber3">
    <w:name w:val="List Number 3"/>
    <w:basedOn w:val="List3"/>
    <w:rsid w:val="00E94283"/>
    <w:pPr>
      <w:numPr>
        <w:numId w:val="4"/>
      </w:numPr>
    </w:pPr>
  </w:style>
  <w:style w:type="paragraph" w:styleId="ListNumber4">
    <w:name w:val="List Number 4"/>
    <w:basedOn w:val="List4"/>
    <w:rsid w:val="00E94283"/>
    <w:pPr>
      <w:numPr>
        <w:numId w:val="5"/>
      </w:numPr>
    </w:pPr>
  </w:style>
  <w:style w:type="paragraph" w:styleId="ListNumber5">
    <w:name w:val="List Number 5"/>
    <w:basedOn w:val="List5"/>
    <w:rsid w:val="00E94283"/>
    <w:pPr>
      <w:numPr>
        <w:numId w:val="6"/>
      </w:numPr>
    </w:pPr>
  </w:style>
  <w:style w:type="paragraph" w:styleId="BlockText">
    <w:name w:val="Block Text"/>
    <w:basedOn w:val="Normal"/>
    <w:rsid w:val="00E94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283"/>
    <w:rPr>
      <w:sz w:val="16"/>
      <w:vertAlign w:val="superscript"/>
    </w:rPr>
  </w:style>
  <w:style w:type="character" w:customStyle="1" w:styleId="Symbols">
    <w:name w:val="Symbols"/>
    <w:basedOn w:val="DefaultParagraphFont"/>
    <w:rsid w:val="00E94283"/>
    <w:rPr>
      <w:rFonts w:ascii="Symbol" w:hAnsi="Symbol"/>
    </w:rPr>
  </w:style>
  <w:style w:type="character" w:customStyle="1" w:styleId="MenuOptions">
    <w:name w:val="Menu Options"/>
    <w:basedOn w:val="DefaultParagraphFont"/>
    <w:rsid w:val="00E94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283"/>
    <w:rPr>
      <w:b/>
    </w:rPr>
  </w:style>
  <w:style w:type="character" w:customStyle="1" w:styleId="Underlined">
    <w:name w:val="Underlined"/>
    <w:basedOn w:val="DefaultParagraphFont"/>
    <w:rsid w:val="00E94283"/>
    <w:rPr>
      <w:u w:val="single"/>
    </w:rPr>
  </w:style>
  <w:style w:type="paragraph" w:customStyle="1" w:styleId="TableBodyTextRight">
    <w:name w:val="Table Body Text Right"/>
    <w:basedOn w:val="TableBodyText"/>
    <w:rsid w:val="00E94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283"/>
    <w:rPr>
      <w:sz w:val="18"/>
    </w:rPr>
  </w:style>
  <w:style w:type="paragraph" w:customStyle="1" w:styleId="BodySmallRight">
    <w:name w:val="Body Small Right"/>
    <w:basedOn w:val="BodyTextRight"/>
    <w:rsid w:val="00E94283"/>
    <w:rPr>
      <w:sz w:val="18"/>
      <w:szCs w:val="18"/>
    </w:rPr>
  </w:style>
  <w:style w:type="paragraph" w:customStyle="1" w:styleId="MarginEdition">
    <w:name w:val="Margin Edition"/>
    <w:basedOn w:val="MarginNote"/>
    <w:rsid w:val="00E94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283"/>
    <w:rPr>
      <w:sz w:val="2"/>
      <w:szCs w:val="2"/>
    </w:rPr>
  </w:style>
  <w:style w:type="character" w:customStyle="1" w:styleId="Small">
    <w:name w:val="Small"/>
    <w:basedOn w:val="DefaultParagraphFont"/>
    <w:rsid w:val="00E94283"/>
    <w:rPr>
      <w:sz w:val="16"/>
    </w:rPr>
  </w:style>
  <w:style w:type="paragraph" w:customStyle="1" w:styleId="WideTable">
    <w:name w:val="Wide Table"/>
    <w:basedOn w:val="Normal"/>
    <w:rsid w:val="00E94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283"/>
  </w:style>
  <w:style w:type="paragraph" w:styleId="Quote">
    <w:name w:val="Quote"/>
    <w:basedOn w:val="Heading1"/>
    <w:link w:val="QuoteChar"/>
    <w:qFormat/>
    <w:rsid w:val="00E94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283"/>
    <w:pPr>
      <w:pageBreakBefore/>
    </w:pPr>
  </w:style>
  <w:style w:type="paragraph" w:customStyle="1" w:styleId="Border">
    <w:name w:val="Border"/>
    <w:basedOn w:val="Normal"/>
    <w:qFormat/>
    <w:rsid w:val="00E94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283"/>
    <w:rPr>
      <w:u w:val="single"/>
    </w:rPr>
  </w:style>
  <w:style w:type="character" w:customStyle="1" w:styleId="BoldandItalics">
    <w:name w:val="Bold and Italics"/>
    <w:qFormat/>
    <w:rsid w:val="00E94283"/>
    <w:rPr>
      <w:b/>
      <w:i/>
      <w:u w:val="none"/>
    </w:rPr>
  </w:style>
  <w:style w:type="paragraph" w:styleId="BalloonText">
    <w:name w:val="Balloon Text"/>
    <w:basedOn w:val="Normal"/>
    <w:link w:val="BalloonTextChar"/>
    <w:rsid w:val="00E94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283"/>
    <w:pPr>
      <w:spacing w:before="0" w:after="0"/>
    </w:pPr>
  </w:style>
  <w:style w:type="paragraph" w:customStyle="1" w:styleId="BodyTextBold">
    <w:name w:val="Body Text Bold"/>
    <w:basedOn w:val="BodyText"/>
    <w:qFormat/>
    <w:rsid w:val="00E94283"/>
    <w:rPr>
      <w:b/>
    </w:rPr>
  </w:style>
  <w:style w:type="character" w:styleId="Hyperlink">
    <w:name w:val="Hyperlink"/>
    <w:basedOn w:val="DefaultParagraphFont"/>
    <w:uiPriority w:val="99"/>
    <w:unhideWhenUsed/>
    <w:rsid w:val="00DB6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6929</Characters>
  <Application>Microsoft Office Word</Application>
  <DocSecurity>0</DocSecurity>
  <Lines>277</Lines>
  <Paragraphs>141</Paragraphs>
  <ScaleCrop>false</ScaleCrop>
  <Company>Author-it Software Corporation Ltd.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DEFTST014 Prepare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