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C4F" w:rsidP="00C87C4F">
      <w:pPr>
        <w:pStyle w:val="Title"/>
      </w:pPr>
      <w:r>
        <w:fldChar w:fldCharType="begin"/>
      </w:r>
      <w:r>
        <w:instrText xml:space="preserve"> TITLE   \* MERGEFORMAT </w:instrText>
      </w:r>
      <w:r>
        <w:fldChar w:fldCharType="separate"/>
      </w:r>
      <w:r>
        <w:t>DEFTST013 Plan test and evaluation processes</w:t>
      </w:r>
      <w:r>
        <w:fldChar w:fldCharType="end"/>
      </w:r>
    </w:p>
    <w:p w:rsidR="00C87C4F" w:rsidP="00C87C4F">
      <w:pPr>
        <w:pStyle w:val="Version"/>
        <w:sectPr w:rsidSect="000D54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54EB" w:rsidP="000D54EB">
      <w:pPr>
        <w:pStyle w:val="SuperHeading"/>
      </w:pPr>
      <w:r w:rsidRPr="000D54EB">
        <w:t>DEFTST013 Plan test and evaluation processes</w:t>
      </w:r>
    </w:p>
    <w:p w:rsidR="00000000" w:rsidRPr="000D54EB" w:rsidP="000D54EB">
      <w:pPr>
        <w:pStyle w:val="Heading1"/>
      </w:pPr>
      <w:bookmarkStart w:id="1" w:name="O_1239771"/>
      <w:bookmarkEnd w:id="1"/>
      <w:r w:rsidRPr="000D54EB">
        <w:t>Modification History</w:t>
      </w:r>
    </w:p>
    <w:tbl>
      <w:tblPr>
        <w:tblW w:w="9497" w:type="dxa"/>
        <w:tblLayout w:type="fixed"/>
        <w:tblCellMar>
          <w:left w:w="62" w:type="dxa"/>
          <w:right w:w="62" w:type="dxa"/>
        </w:tblCellMar>
        <w:tblLook w:val="0000"/>
      </w:tblPr>
      <w:tblGrid>
        <w:gridCol w:w="9497"/>
      </w:tblGrid>
      <w:tr w:rsidTr="000D5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t>Release 1. This is the first release of this unit of competency in the DEF Defence Training Package.</w:t>
            </w:r>
          </w:p>
        </w:tc>
      </w:tr>
    </w:tbl>
    <w:p w:rsidR="00000000" w:rsidRPr="000D54EB" w:rsidP="000D54EB">
      <w:pPr>
        <w:pStyle w:val="NoPaddingFontSize1"/>
      </w:pPr>
    </w:p>
    <w:p w:rsidR="00000000" w:rsidRPr="000D54EB" w:rsidP="000D54EB">
      <w:pPr>
        <w:pStyle w:val="AllowPageBreak"/>
      </w:pPr>
    </w:p>
    <w:p w:rsidR="00000000" w:rsidRPr="000D54EB" w:rsidP="000D54EB">
      <w:pPr>
        <w:pStyle w:val="Heading1"/>
      </w:pPr>
      <w:bookmarkStart w:id="2" w:name="O_1239772"/>
      <w:bookmarkEnd w:id="2"/>
      <w:r w:rsidRPr="000D54EB">
        <w:t>Application</w:t>
      </w:r>
    </w:p>
    <w:tbl>
      <w:tblPr>
        <w:tblW w:w="9497" w:type="dxa"/>
        <w:tblLayout w:type="fixed"/>
        <w:tblCellMar>
          <w:left w:w="62" w:type="dxa"/>
          <w:right w:w="62" w:type="dxa"/>
        </w:tblCellMar>
        <w:tblLook w:val="0000"/>
      </w:tblPr>
      <w:tblGrid>
        <w:gridCol w:w="9497"/>
      </w:tblGrid>
      <w:tr w:rsidTr="000D5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t>This unit describes the skills and knowledge required to plan test and evaluation processes.</w:t>
            </w:r>
          </w:p>
          <w:p w:rsidR="00000000" w:rsidRPr="000D54EB" w:rsidP="000D54EB">
            <w:pPr>
              <w:pStyle w:val="BodyText"/>
            </w:pPr>
            <w:r w:rsidRPr="000D54EB">
              <w:t>It includes identifying test requirements and undertaking scoping, determining test and evaluation methodology, developing and finalising test and evaluation plans.</w:t>
            </w:r>
          </w:p>
          <w:p w:rsidR="00000000" w:rsidRPr="000D54EB" w:rsidP="000D54EB">
            <w:pPr>
              <w:pStyle w:val="BodyText"/>
            </w:pPr>
            <w:r w:rsidRPr="000D54EB">
              <w:t>This unit was developed for Defence test and evaluation workers but is applicable to any i</w:t>
            </w:r>
            <w:r w:rsidRPr="000D54EB">
              <w:t>ndividuals who work in this field.</w:t>
            </w:r>
          </w:p>
          <w:p w:rsidR="00000000" w:rsidRPr="000D54EB" w:rsidP="000D54EB">
            <w:pPr>
              <w:pStyle w:val="BodyText"/>
            </w:pPr>
            <w:r w:rsidRPr="000D54EB">
              <w:t>The skills and knowledge described in this unit must be applied within the legislative, regulatory and policy environment in which they are carried out. Organisational policies and procedures must be consulted and adhered</w:t>
            </w:r>
            <w:r w:rsidRPr="000D54EB">
              <w:t xml:space="preserve"> to.</w:t>
            </w:r>
          </w:p>
          <w:p w:rsidR="00000000" w:rsidRPr="000D54EB" w:rsidP="000D54EB">
            <w:pPr>
              <w:pStyle w:val="BodyText"/>
            </w:pPr>
            <w:r w:rsidRPr="000D54EB">
              <w:t xml:space="preserve">Those undertaking this unit would work independently or as part of a team, under direct and indirect supervision, use discretion and judgement, and take responsibility for the quality of their output. They would perform sophisticated tasks in a range </w:t>
            </w:r>
            <w:r w:rsidRPr="000D54EB">
              <w:t>of contexts.</w:t>
            </w:r>
          </w:p>
          <w:p w:rsidR="00000000" w:rsidRPr="000D54EB" w:rsidP="000D54EB">
            <w:pPr>
              <w:pStyle w:val="BodyText"/>
            </w:pPr>
            <w:r w:rsidRPr="000D54EB">
              <w:t>No licensing, legislative or certification requirements apply to unit at the time of publication.</w:t>
            </w:r>
          </w:p>
        </w:tc>
      </w:tr>
    </w:tbl>
    <w:p w:rsidR="00000000" w:rsidRPr="000D54EB" w:rsidP="000D54EB">
      <w:pPr>
        <w:pStyle w:val="NoPaddingFontSize1"/>
      </w:pPr>
    </w:p>
    <w:p w:rsidR="00000000" w:rsidRPr="000D54EB" w:rsidP="000D54EB">
      <w:pPr>
        <w:pStyle w:val="AllowPageBreak"/>
      </w:pPr>
    </w:p>
    <w:p w:rsidR="00000000" w:rsidRPr="000D54EB" w:rsidP="000D54EB">
      <w:pPr>
        <w:pStyle w:val="Heading1"/>
      </w:pPr>
      <w:bookmarkStart w:id="3" w:name="O_1239773"/>
      <w:bookmarkEnd w:id="3"/>
      <w:r w:rsidRPr="000D54EB">
        <w:t>Pre-requisite Unit</w:t>
      </w:r>
    </w:p>
    <w:tbl>
      <w:tblPr>
        <w:tblW w:w="9497" w:type="dxa"/>
        <w:tblLayout w:type="fixed"/>
        <w:tblCellMar>
          <w:left w:w="62" w:type="dxa"/>
          <w:right w:w="62" w:type="dxa"/>
        </w:tblCellMar>
        <w:tblLook w:val="0000"/>
      </w:tblPr>
      <w:tblGrid>
        <w:gridCol w:w="9497"/>
      </w:tblGrid>
      <w:tr w:rsidTr="000D5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t>Not applicable.</w:t>
            </w:r>
          </w:p>
        </w:tc>
      </w:tr>
    </w:tbl>
    <w:p w:rsidR="00000000" w:rsidRPr="000D54EB" w:rsidP="000D54EB">
      <w:pPr>
        <w:pStyle w:val="NoPaddingFontSize1"/>
      </w:pPr>
    </w:p>
    <w:p w:rsidR="00000000" w:rsidRPr="000D54EB" w:rsidP="000D54EB">
      <w:pPr>
        <w:pStyle w:val="AllowPageBreak"/>
      </w:pPr>
    </w:p>
    <w:p w:rsidR="00000000" w:rsidRPr="000D54EB" w:rsidP="000D54EB">
      <w:pPr>
        <w:pStyle w:val="Heading1"/>
      </w:pPr>
      <w:bookmarkStart w:id="4" w:name="O_1239774"/>
      <w:bookmarkEnd w:id="4"/>
      <w:r w:rsidRPr="000D54EB">
        <w:t>Competency Field</w:t>
      </w:r>
    </w:p>
    <w:tbl>
      <w:tblPr>
        <w:tblW w:w="9497" w:type="dxa"/>
        <w:tblLayout w:type="fixed"/>
        <w:tblCellMar>
          <w:left w:w="62" w:type="dxa"/>
          <w:right w:w="62" w:type="dxa"/>
        </w:tblCellMar>
        <w:tblLook w:val="0000"/>
      </w:tblPr>
      <w:tblGrid>
        <w:gridCol w:w="9497"/>
      </w:tblGrid>
      <w:tr w:rsidTr="000D5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t>Test and Evaluation.</w:t>
            </w:r>
          </w:p>
        </w:tc>
      </w:tr>
    </w:tbl>
    <w:p w:rsidR="00000000" w:rsidRPr="000D54EB" w:rsidP="000D54EB">
      <w:pPr>
        <w:pStyle w:val="NoPaddingFontSize1"/>
      </w:pPr>
    </w:p>
    <w:p w:rsidR="00000000" w:rsidRPr="000D54EB" w:rsidP="000D54EB">
      <w:pPr>
        <w:pStyle w:val="AllowPageBreak"/>
      </w:pPr>
    </w:p>
    <w:p w:rsidR="00000000" w:rsidRPr="000D54EB" w:rsidP="000D54EB">
      <w:pPr>
        <w:pStyle w:val="Heading1"/>
      </w:pPr>
      <w:bookmarkStart w:id="5" w:name="O_1239775"/>
      <w:bookmarkEnd w:id="5"/>
      <w:r w:rsidRPr="000D54EB">
        <w:t>Unit Sector</w:t>
      </w:r>
    </w:p>
    <w:tbl>
      <w:tblPr>
        <w:tblW w:w="9497" w:type="dxa"/>
        <w:tblLayout w:type="fixed"/>
        <w:tblCellMar>
          <w:left w:w="62" w:type="dxa"/>
          <w:right w:w="62" w:type="dxa"/>
        </w:tblCellMar>
        <w:tblLook w:val="0000"/>
      </w:tblPr>
      <w:tblGrid>
        <w:gridCol w:w="9497"/>
      </w:tblGrid>
      <w:tr w:rsidTr="000D5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t>Not applicable.</w:t>
            </w:r>
          </w:p>
        </w:tc>
      </w:tr>
    </w:tbl>
    <w:p w:rsidR="00000000" w:rsidRPr="000D54EB" w:rsidP="000D54EB">
      <w:pPr>
        <w:pStyle w:val="NoPaddingFontSize1"/>
      </w:pPr>
    </w:p>
    <w:p w:rsidR="00000000" w:rsidRPr="000D54EB" w:rsidP="000D54EB">
      <w:pPr>
        <w:pStyle w:val="AllowPageBreak"/>
      </w:pPr>
    </w:p>
    <w:p w:rsidR="00000000" w:rsidRPr="000D54EB" w:rsidP="000D54EB">
      <w:pPr>
        <w:pStyle w:val="Heading1"/>
      </w:pPr>
      <w:bookmarkStart w:id="6" w:name="O_1239776"/>
      <w:bookmarkEnd w:id="6"/>
      <w:r w:rsidRPr="000D54EB">
        <w:t>Elements and Performance Criteria</w:t>
      </w:r>
    </w:p>
    <w:tbl>
      <w:tblPr>
        <w:tblW w:w="9497" w:type="dxa"/>
        <w:tblLayout w:type="fixed"/>
        <w:tblCellMar>
          <w:left w:w="62" w:type="dxa"/>
          <w:right w:w="62" w:type="dxa"/>
        </w:tblCellMar>
        <w:tblLook w:val="0000"/>
      </w:tblPr>
      <w:tblGrid>
        <w:gridCol w:w="455"/>
        <w:gridCol w:w="2407"/>
        <w:gridCol w:w="900"/>
        <w:gridCol w:w="5735"/>
      </w:tblGrid>
      <w:tr w:rsidTr="000D54EB">
        <w:tblPrEx>
          <w:tblW w:w="9497" w:type="dxa"/>
          <w:tblLayout w:type="fixed"/>
          <w:tblCellMar>
            <w:left w:w="62" w:type="dxa"/>
            <w:right w:w="62" w:type="dxa"/>
          </w:tblCellMar>
          <w:tblLook w:val="0000"/>
        </w:tblPrEx>
        <w:tc>
          <w:tcPr>
            <w:tcW w:w="2862" w:type="dxa"/>
            <w:gridSpan w:val="2"/>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rPr>
                <w:rStyle w:val="SpecialBold"/>
              </w:rPr>
              <w:t>ELEMENTS</w:t>
            </w:r>
          </w:p>
        </w:tc>
        <w:tc>
          <w:tcPr>
            <w:tcW w:w="6635" w:type="dxa"/>
            <w:gridSpan w:val="2"/>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PERFORMANCE CRITERIA</w:t>
            </w:r>
          </w:p>
        </w:tc>
      </w:tr>
      <w:tr w:rsidTr="000D54EB">
        <w:tblPrEx>
          <w:tblW w:w="9497" w:type="dxa"/>
          <w:tblLayout w:type="fixed"/>
          <w:tblCellMar>
            <w:left w:w="62" w:type="dxa"/>
            <w:right w:w="62" w:type="dxa"/>
          </w:tblCellMar>
          <w:tblLook w:val="0000"/>
        </w:tblPrEx>
        <w:tc>
          <w:tcPr>
            <w:tcW w:w="2862" w:type="dxa"/>
            <w:gridSpan w:val="2"/>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Elements describe the essential outcomes.</w:t>
            </w:r>
          </w:p>
        </w:tc>
        <w:tc>
          <w:tcPr>
            <w:tcW w:w="6635" w:type="dxa"/>
            <w:gridSpan w:val="2"/>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Performance criteria describe the performance needed to demonstrate achievement of the element.</w:t>
            </w:r>
          </w:p>
        </w:tc>
      </w:tr>
      <w:tr w:rsidTr="000D54EB">
        <w:tblPrEx>
          <w:tblW w:w="9497" w:type="dxa"/>
          <w:tblLayout w:type="fixed"/>
          <w:tblCellMar>
            <w:left w:w="62" w:type="dxa"/>
            <w:right w:w="62" w:type="dxa"/>
          </w:tblCellMar>
          <w:tblLook w:val="0000"/>
        </w:tblPrEx>
        <w:tc>
          <w:tcPr>
            <w:tcW w:w="455" w:type="dxa"/>
            <w:vMerge w:val="restart"/>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rPr>
                <w:rStyle w:val="SpecialBold"/>
              </w:rPr>
              <w:t xml:space="preserve">1 </w:t>
            </w:r>
          </w:p>
        </w:tc>
        <w:tc>
          <w:tcPr>
            <w:tcW w:w="2407" w:type="dxa"/>
            <w:vMerge w:val="restart"/>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rPr>
                <w:rStyle w:val="SpecialBold"/>
              </w:rPr>
              <w:t>Identify test and evaluation requirements and undertake scoping</w:t>
            </w: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1.1</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Analyse the need for test and evaluation</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1.2</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Undertake definition study, define system under test and determine scope and boundaries of the test and evaluation process</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1.3</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Identify and engage with stakeholders to ensure requirements are addressed in planning</w:t>
            </w:r>
          </w:p>
        </w:tc>
      </w:tr>
      <w:tr w:rsidTr="000D54EB">
        <w:tblPrEx>
          <w:tblW w:w="9497" w:type="dxa"/>
          <w:tblLayout w:type="fixed"/>
          <w:tblCellMar>
            <w:left w:w="62" w:type="dxa"/>
            <w:right w:w="62" w:type="dxa"/>
          </w:tblCellMar>
          <w:tblLook w:val="0000"/>
        </w:tblPrEx>
        <w:tc>
          <w:tcPr>
            <w:tcW w:w="455" w:type="dxa"/>
            <w:vMerge w:val="restart"/>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rPr>
                <w:rStyle w:val="SpecialBold"/>
              </w:rPr>
              <w:t>2</w:t>
            </w:r>
          </w:p>
        </w:tc>
        <w:tc>
          <w:tcPr>
            <w:tcW w:w="2407" w:type="dxa"/>
            <w:vMerge w:val="restart"/>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rPr>
                <w:rStyle w:val="SpecialBold"/>
              </w:rPr>
              <w:t>Determine test and evaluation methodology</w:t>
            </w: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2.1</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Undertake research and analyse to identify, assumptions, risks, constraining factors, impacts, alternate options and var</w:t>
            </w:r>
            <w:r w:rsidRPr="000D54EB">
              <w:t>iations</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2.2</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Analyse methodology, technical feasibility, supportability and cost-effectiveness and define reporting outcomes</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2.3</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Assess alternatives for test and evaluation design</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2.4</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Identify preferred test and evaluation options that best fits organisational requirements</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2.5</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Consult relevant specialists to determine extent of potential risks</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2.6</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Prepare business case and obtain approvals to proceed with test development</w:t>
            </w:r>
          </w:p>
        </w:tc>
      </w:tr>
      <w:tr w:rsidTr="000D54EB">
        <w:tblPrEx>
          <w:tblW w:w="9497" w:type="dxa"/>
          <w:tblLayout w:type="fixed"/>
          <w:tblCellMar>
            <w:left w:w="62" w:type="dxa"/>
            <w:right w:w="62" w:type="dxa"/>
          </w:tblCellMar>
          <w:tblLook w:val="0000"/>
        </w:tblPrEx>
        <w:tc>
          <w:tcPr>
            <w:tcW w:w="455" w:type="dxa"/>
            <w:vMerge w:val="restart"/>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rPr>
                <w:rStyle w:val="SpecialBold"/>
              </w:rPr>
              <w:t>3</w:t>
            </w:r>
          </w:p>
        </w:tc>
        <w:tc>
          <w:tcPr>
            <w:tcW w:w="2407" w:type="dxa"/>
            <w:vMerge w:val="restart"/>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rPr>
                <w:rStyle w:val="SpecialBold"/>
              </w:rPr>
              <w:t>Devel</w:t>
            </w:r>
            <w:r w:rsidRPr="000D54EB">
              <w:rPr>
                <w:rStyle w:val="SpecialBold"/>
              </w:rPr>
              <w:t>op test and evaluation plans</w:t>
            </w: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3.1</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Design and document planning process utilising management tools, in accordance with test and users’ requirements, in consultation with specialists</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3.2</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Define aims, objectives and impacts in test plan and timeframes</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3.3</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Identify resources to complete quality deliverables on time and within budget</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3.4</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 xml:space="preserve">Determine test methods by consideration of resource constraints, environmental constraints, evidence requirements, existing capabilities and their </w:t>
            </w:r>
            <w:r w:rsidRPr="000D54EB">
              <w:t>compatibility with existing procedures</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3.5</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Describe test conditions, tolerances, techniques, environments and the basis for assessment</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3.6</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Develop indicators to monitor test performance and seek agreement by relevant stakeholders</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3.7</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Investigate p</w:t>
            </w:r>
            <w:r w:rsidRPr="000D54EB">
              <w:t>otential risks and identify them in the plan</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3.8</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Establish a risk management process to analyse information and options</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3.9</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Clarify and agree on skills, roles and responsibilities of team members and stakeholders, and identify reporting requirements</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3.10</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Address management of test parameters in the plan and design evaluation criteria</w:t>
            </w:r>
          </w:p>
        </w:tc>
      </w:tr>
      <w:tr w:rsidTr="000D54EB">
        <w:tblPrEx>
          <w:tblW w:w="9497" w:type="dxa"/>
          <w:tblLayout w:type="fixed"/>
          <w:tblCellMar>
            <w:left w:w="62" w:type="dxa"/>
            <w:right w:w="62" w:type="dxa"/>
          </w:tblCellMar>
          <w:tblLook w:val="0000"/>
        </w:tblPrEx>
        <w:tc>
          <w:tcPr>
            <w:tcW w:w="455" w:type="dxa"/>
            <w:vMerge w:val="restart"/>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rPr>
                <w:rStyle w:val="SpecialBold"/>
              </w:rPr>
              <w:t>4</w:t>
            </w:r>
          </w:p>
        </w:tc>
        <w:tc>
          <w:tcPr>
            <w:tcW w:w="2407" w:type="dxa"/>
            <w:vMerge w:val="restart"/>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rPr>
                <w:rStyle w:val="SpecialBold"/>
              </w:rPr>
              <w:t>Finalise test plans</w:t>
            </w: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4.1</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Identify requirements for data management, analysis, tools and storage</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4.2</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Maintain security and confidentiality of data</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4.3</w:t>
            </w:r>
          </w:p>
        </w:tc>
        <w:tc>
          <w:tcPr>
            <w:tcW w:w="5735"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t>Promulgate and maintain test and evaluation plans and test plan approvals</w:t>
            </w:r>
          </w:p>
        </w:tc>
      </w:tr>
      <w:tr w:rsidTr="000D54EB">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0D54EB">
            <w:pPr>
              <w:pStyle w:val="BodyText"/>
              <w:keepLines w:val="0"/>
            </w:pPr>
          </w:p>
        </w:tc>
        <w:tc>
          <w:tcPr>
            <w:tcW w:w="900" w:type="dxa"/>
            <w:tcBorders>
              <w:top w:val="nil"/>
              <w:left w:val="nil"/>
              <w:bottom w:val="nil"/>
              <w:right w:val="nil"/>
            </w:tcBorders>
            <w:tcMar>
              <w:top w:w="0" w:type="dxa"/>
              <w:left w:w="62" w:type="dxa"/>
              <w:bottom w:w="0" w:type="dxa"/>
              <w:right w:w="62" w:type="dxa"/>
            </w:tcMar>
          </w:tcPr>
          <w:p w:rsidR="00000000" w:rsidP="000D54EB">
            <w:pPr>
              <w:pStyle w:val="BodyText"/>
              <w:rPr>
                <w:lang w:val="en-NZ"/>
              </w:rPr>
            </w:pPr>
            <w:r w:rsidRPr="000D54EB">
              <w:rPr>
                <w:rStyle w:val="SpecialBold"/>
              </w:rPr>
              <w:t>4.4</w:t>
            </w:r>
          </w:p>
        </w:tc>
        <w:tc>
          <w:tcPr>
            <w:tcW w:w="5735" w:type="dxa"/>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t>Define test safety requirements</w:t>
            </w:r>
          </w:p>
        </w:tc>
      </w:tr>
    </w:tbl>
    <w:p w:rsidR="00000000" w:rsidRPr="000D54EB" w:rsidP="000D54EB">
      <w:pPr>
        <w:pStyle w:val="NoPaddingFontSize1"/>
      </w:pPr>
    </w:p>
    <w:p w:rsidR="00000000" w:rsidRPr="000D54EB" w:rsidP="000D54EB">
      <w:pPr>
        <w:pStyle w:val="AllowPageBreak"/>
      </w:pPr>
    </w:p>
    <w:p w:rsidR="00000000" w:rsidRPr="000D54EB" w:rsidP="000D54EB">
      <w:pPr>
        <w:pStyle w:val="Heading1"/>
      </w:pPr>
      <w:bookmarkStart w:id="7" w:name="O_1239777"/>
      <w:bookmarkEnd w:id="7"/>
      <w:r w:rsidRPr="000D54EB">
        <w:t>Foundation Skills</w:t>
      </w:r>
    </w:p>
    <w:tbl>
      <w:tblPr>
        <w:tblW w:w="9497" w:type="dxa"/>
        <w:tblLayout w:type="fixed"/>
        <w:tblCellMar>
          <w:left w:w="62" w:type="dxa"/>
          <w:right w:w="62" w:type="dxa"/>
        </w:tblCellMar>
        <w:tblLook w:val="0000"/>
      </w:tblPr>
      <w:tblGrid>
        <w:gridCol w:w="9497"/>
      </w:tblGrid>
      <w:tr w:rsidTr="000D5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t>Foundation skills essential to performance are explicit in the performance criteria of this unit of competency.</w:t>
            </w:r>
          </w:p>
        </w:tc>
      </w:tr>
    </w:tbl>
    <w:p w:rsidR="00000000" w:rsidRPr="000D54EB" w:rsidP="000D54EB">
      <w:pPr>
        <w:pStyle w:val="NoPaddingFontSize1"/>
      </w:pPr>
    </w:p>
    <w:p w:rsidR="00000000" w:rsidRPr="000D54EB" w:rsidP="000D54EB">
      <w:pPr>
        <w:pStyle w:val="AllowPageBreak"/>
      </w:pPr>
    </w:p>
    <w:p w:rsidR="00000000" w:rsidRPr="000D54EB" w:rsidP="000D54EB">
      <w:pPr>
        <w:pStyle w:val="Heading1"/>
      </w:pPr>
      <w:bookmarkStart w:id="8" w:name="O_1239778"/>
      <w:bookmarkEnd w:id="8"/>
      <w:r w:rsidRPr="000D54EB">
        <w:t>Range of Conditions</w:t>
      </w:r>
    </w:p>
    <w:tbl>
      <w:tblPr>
        <w:tblW w:w="9497" w:type="dxa"/>
        <w:tblLayout w:type="fixed"/>
        <w:tblCellMar>
          <w:left w:w="62" w:type="dxa"/>
          <w:right w:w="62" w:type="dxa"/>
        </w:tblCellMar>
        <w:tblLook w:val="0000"/>
      </w:tblPr>
      <w:tblGrid>
        <w:gridCol w:w="9497"/>
      </w:tblGrid>
      <w:tr w:rsidTr="000D5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t>Range is restricted to essential operating conditions and any other variables essential to the work env</w:t>
            </w:r>
            <w:r w:rsidRPr="000D54EB">
              <w:t>ironment.</w:t>
            </w:r>
          </w:p>
          <w:p w:rsidR="00000000" w:rsidRPr="000D54EB" w:rsidP="000D54EB">
            <w:pPr>
              <w:pStyle w:val="BodyText"/>
            </w:pPr>
            <w:r w:rsidRPr="000D54EB">
              <w:t>Non-essential conditions may be found in the DEF Defence Training Package Companion Volume Implementation Guide.</w:t>
            </w:r>
          </w:p>
        </w:tc>
      </w:tr>
    </w:tbl>
    <w:p w:rsidR="00000000" w:rsidRPr="000D54EB" w:rsidP="000D54EB">
      <w:pPr>
        <w:pStyle w:val="NoPaddingFontSize1"/>
      </w:pPr>
    </w:p>
    <w:p w:rsidR="00000000" w:rsidRPr="000D54EB" w:rsidP="000D54EB">
      <w:pPr>
        <w:pStyle w:val="AllowPageBreak"/>
      </w:pPr>
    </w:p>
    <w:p w:rsidR="00000000" w:rsidRPr="000D54EB" w:rsidP="000D54EB">
      <w:pPr>
        <w:pStyle w:val="Heading1"/>
      </w:pPr>
      <w:bookmarkStart w:id="9" w:name="O_1239779"/>
      <w:bookmarkEnd w:id="9"/>
      <w:r w:rsidRPr="000D54EB">
        <w:t>Unit Mapping Information</w:t>
      </w:r>
    </w:p>
    <w:tbl>
      <w:tblPr>
        <w:tblW w:w="9497" w:type="dxa"/>
        <w:tblLayout w:type="fixed"/>
        <w:tblCellMar>
          <w:left w:w="62" w:type="dxa"/>
          <w:right w:w="62" w:type="dxa"/>
        </w:tblCellMar>
        <w:tblLook w:val="0000"/>
      </w:tblPr>
      <w:tblGrid>
        <w:gridCol w:w="9497"/>
      </w:tblGrid>
      <w:tr w:rsidTr="000D5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54EB" w:rsidP="000D54EB">
            <w:pPr>
              <w:pStyle w:val="BodyText"/>
            </w:pPr>
            <w:r w:rsidRPr="000D54EB">
              <w:t>This unit supersedes and is equivalent to DEFTST001 Plan testing and evaluation process</w:t>
            </w:r>
            <w:r w:rsidRPr="000D54EB">
              <w:t>es.</w:t>
            </w:r>
          </w:p>
        </w:tc>
      </w:tr>
    </w:tbl>
    <w:p w:rsidR="00000000" w:rsidRPr="000D54EB" w:rsidP="000D54EB">
      <w:pPr>
        <w:pStyle w:val="NoPaddingFontSize1"/>
      </w:pPr>
    </w:p>
    <w:p w:rsidR="00000000" w:rsidRPr="000D54EB" w:rsidP="000D54EB">
      <w:pPr>
        <w:pStyle w:val="AllowPageBreak"/>
      </w:pPr>
    </w:p>
    <w:p w:rsidR="00000000" w:rsidRPr="000D54EB" w:rsidP="000D54EB">
      <w:pPr>
        <w:pStyle w:val="Heading1"/>
      </w:pPr>
      <w:bookmarkStart w:id="10" w:name="O_1239786"/>
      <w:bookmarkEnd w:id="10"/>
      <w:r w:rsidRPr="000D54EB">
        <w:t>Links</w:t>
      </w:r>
    </w:p>
    <w:p w:rsidR="00000000" w:rsidRPr="000D54EB" w:rsidP="00C87C4F">
      <w:pPr>
        <w:pStyle w:val="BodyText"/>
      </w:pPr>
      <w:r w:rsidRPr="000D54E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72290D">
        <w:rPr>
          <w:rStyle w:val="Hyperlink"/>
        </w:rPr>
        <w:t>https://vetnet.gov.au/Pages/TrainingDocs.aspx?q=6bdbab1e-11ed-4bc9-9cba-9e1a55d4e4a9</w:t>
      </w:r>
      <w:r>
        <w:fldChar w:fldCharType="end"/>
      </w:r>
    </w:p>
    <w:p w:rsidR="00000000" w:rsidRPr="000D54EB" w:rsidP="000D54EB"/>
    <w:sectPr w:rsidSect="000D54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EB" w:rsidRPr="00C87C4F" w:rsidP="00C87C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C4F" w:rsidP="000D54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7C4F" w:rsidP="000D54E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87C4F" w:rsidP="000D54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C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54EB" w:rsidRPr="00C87C4F" w:rsidP="00C87C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C4F" w:rsidRPr="002D2AF8" w:rsidP="000D54EB">
    <w:pPr>
      <w:pStyle w:val="Header"/>
      <w:framePr w:wrap="around"/>
    </w:pPr>
    <w:r>
      <w:fldChar w:fldCharType="begin"/>
    </w:r>
    <w:r>
      <w:instrText xml:space="preserve"> TITLE   \* MERGEFORMAT </w:instrText>
    </w:r>
    <w:r>
      <w:fldChar w:fldCharType="separate"/>
    </w:r>
    <w:r>
      <w:t>DEFTST013 Plan test and evaluation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87C4F" w:rsidP="000D54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4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54EB"/>
    <w:pPr>
      <w:spacing w:before="360" w:after="60"/>
      <w:outlineLvl w:val="0"/>
    </w:pPr>
    <w:rPr>
      <w:sz w:val="32"/>
    </w:rPr>
  </w:style>
  <w:style w:type="paragraph" w:styleId="Heading2">
    <w:name w:val="heading 2"/>
    <w:basedOn w:val="HeadingBase"/>
    <w:next w:val="BodyText"/>
    <w:link w:val="Heading2Char"/>
    <w:qFormat/>
    <w:rsid w:val="000D54EB"/>
    <w:pPr>
      <w:keepLines/>
      <w:spacing w:before="240" w:after="120"/>
      <w:outlineLvl w:val="1"/>
    </w:pPr>
    <w:rPr>
      <w:sz w:val="28"/>
      <w:szCs w:val="40"/>
    </w:rPr>
  </w:style>
  <w:style w:type="paragraph" w:styleId="Heading3">
    <w:name w:val="heading 3"/>
    <w:basedOn w:val="HeadingBase"/>
    <w:next w:val="BodyText"/>
    <w:link w:val="Heading3Char"/>
    <w:qFormat/>
    <w:rsid w:val="000D54EB"/>
    <w:pPr>
      <w:spacing w:before="180" w:after="120"/>
      <w:outlineLvl w:val="2"/>
    </w:pPr>
    <w:rPr>
      <w:spacing w:val="-10"/>
      <w:kern w:val="32"/>
    </w:rPr>
  </w:style>
  <w:style w:type="paragraph" w:styleId="Heading4">
    <w:name w:val="heading 4"/>
    <w:basedOn w:val="HeadingBase"/>
    <w:next w:val="BodyText"/>
    <w:link w:val="Heading4Char"/>
    <w:qFormat/>
    <w:rsid w:val="000D54EB"/>
    <w:pPr>
      <w:spacing w:before="160" w:after="120"/>
      <w:outlineLvl w:val="3"/>
    </w:pPr>
    <w:rPr>
      <w:sz w:val="22"/>
    </w:rPr>
  </w:style>
  <w:style w:type="paragraph" w:styleId="Heading5">
    <w:name w:val="heading 5"/>
    <w:basedOn w:val="HeadingBase"/>
    <w:next w:val="Normal"/>
    <w:link w:val="Heading5Char"/>
    <w:qFormat/>
    <w:rsid w:val="000D54EB"/>
    <w:pPr>
      <w:spacing w:before="80"/>
      <w:outlineLvl w:val="4"/>
    </w:pPr>
    <w:rPr>
      <w:color w:val="918585"/>
      <w:sz w:val="20"/>
    </w:rPr>
  </w:style>
  <w:style w:type="paragraph" w:styleId="Heading6">
    <w:name w:val="heading 6"/>
    <w:basedOn w:val="HeadingBase"/>
    <w:next w:val="Normal"/>
    <w:link w:val="Heading6Char"/>
    <w:qFormat/>
    <w:rsid w:val="000D54EB"/>
    <w:pPr>
      <w:spacing w:before="60"/>
      <w:outlineLvl w:val="5"/>
    </w:pPr>
    <w:rPr>
      <w:color w:val="918585"/>
      <w:sz w:val="20"/>
    </w:rPr>
  </w:style>
  <w:style w:type="paragraph" w:styleId="Heading7">
    <w:name w:val="heading 7"/>
    <w:basedOn w:val="Normal"/>
    <w:next w:val="Normal"/>
    <w:link w:val="Heading7Char"/>
    <w:qFormat/>
    <w:rsid w:val="000D54EB"/>
    <w:pPr>
      <w:ind w:left="720"/>
      <w:outlineLvl w:val="6"/>
    </w:pPr>
    <w:rPr>
      <w:i/>
    </w:rPr>
  </w:style>
  <w:style w:type="paragraph" w:styleId="Heading8">
    <w:name w:val="heading 8"/>
    <w:basedOn w:val="Normal"/>
    <w:next w:val="Normal"/>
    <w:link w:val="Heading8Char"/>
    <w:qFormat/>
    <w:rsid w:val="000D54EB"/>
    <w:pPr>
      <w:ind w:left="720"/>
      <w:outlineLvl w:val="7"/>
    </w:pPr>
    <w:rPr>
      <w:i/>
    </w:rPr>
  </w:style>
  <w:style w:type="paragraph" w:styleId="Heading9">
    <w:name w:val="heading 9"/>
    <w:basedOn w:val="Normal"/>
    <w:next w:val="Normal"/>
    <w:link w:val="Heading9Char"/>
    <w:qFormat/>
    <w:rsid w:val="000D54EB"/>
    <w:pPr>
      <w:ind w:left="720"/>
      <w:outlineLvl w:val="8"/>
    </w:pPr>
    <w:rPr>
      <w:i/>
    </w:rPr>
  </w:style>
  <w:style w:type="character" w:default="1" w:styleId="DefaultParagraphFont">
    <w:name w:val="Default Paragraph Font"/>
    <w:uiPriority w:val="1"/>
    <w:unhideWhenUsed/>
    <w:rsid w:val="000D54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4EB"/>
  </w:style>
  <w:style w:type="character" w:customStyle="1" w:styleId="Heading1Char">
    <w:name w:val="Heading 1 Char"/>
    <w:basedOn w:val="DefaultParagraphFont"/>
    <w:link w:val="Heading1"/>
    <w:rsid w:val="000D54EB"/>
    <w:rPr>
      <w:rFonts w:ascii="Times New Roman" w:eastAsia="Times New Roman" w:hAnsi="Times New Roman" w:cs="Times New Roman"/>
      <w:b/>
      <w:sz w:val="32"/>
      <w:szCs w:val="20"/>
      <w:lang w:eastAsia="en-US"/>
    </w:rPr>
  </w:style>
  <w:style w:type="paragraph" w:styleId="BodyText">
    <w:name w:val="Body Text"/>
    <w:basedOn w:val="Normal"/>
    <w:link w:val="BodyTextChar"/>
    <w:rsid w:val="000D54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54EB"/>
    <w:rPr>
      <w:rFonts w:ascii="Times New Roman" w:eastAsia="Times New Roman" w:hAnsi="Times New Roman" w:cs="Times New Roman"/>
      <w:sz w:val="24"/>
      <w:lang w:eastAsia="en-US"/>
    </w:rPr>
  </w:style>
  <w:style w:type="character" w:customStyle="1" w:styleId="SpecialBold">
    <w:name w:val="Special Bold"/>
    <w:basedOn w:val="DefaultParagraphFont"/>
    <w:rsid w:val="000D54EB"/>
    <w:rPr>
      <w:b/>
      <w:spacing w:val="0"/>
    </w:rPr>
  </w:style>
  <w:style w:type="paragraph" w:customStyle="1" w:styleId="SuperHeading">
    <w:name w:val="SuperHeading"/>
    <w:basedOn w:val="Normal"/>
    <w:rsid w:val="000D54EB"/>
    <w:pPr>
      <w:spacing w:before="240" w:after="120"/>
      <w:outlineLvl w:val="0"/>
    </w:pPr>
    <w:rPr>
      <w:rFonts w:ascii="Times New Roman" w:hAnsi="Times New Roman"/>
      <w:b/>
      <w:sz w:val="32"/>
    </w:rPr>
  </w:style>
  <w:style w:type="paragraph" w:customStyle="1" w:styleId="AllowPageBreak">
    <w:name w:val="AllowPageBreak"/>
    <w:rsid w:val="000D54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54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4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4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4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4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4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54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54EB"/>
    <w:rPr>
      <w:rFonts w:ascii="Courier New" w:eastAsia="Times New Roman" w:hAnsi="Courier New" w:cs="Times New Roman"/>
      <w:i/>
      <w:szCs w:val="20"/>
      <w:lang w:eastAsia="en-US"/>
    </w:rPr>
  </w:style>
  <w:style w:type="paragraph" w:customStyle="1" w:styleId="HeadingBase">
    <w:name w:val="Heading Base"/>
    <w:rsid w:val="000D54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4EB"/>
    <w:pPr>
      <w:tabs>
        <w:tab w:val="right" w:leader="dot" w:pos="9072"/>
      </w:tabs>
      <w:ind w:left="567"/>
    </w:pPr>
    <w:rPr>
      <w:szCs w:val="22"/>
    </w:rPr>
  </w:style>
  <w:style w:type="paragraph" w:customStyle="1" w:styleId="TOCBase">
    <w:name w:val="TOC Base"/>
    <w:rsid w:val="000D54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4EB"/>
    <w:pPr>
      <w:tabs>
        <w:tab w:val="right" w:leader="dot" w:pos="9072"/>
      </w:tabs>
      <w:spacing w:before="40" w:after="40"/>
      <w:ind w:left="284"/>
    </w:pPr>
    <w:rPr>
      <w:rFonts w:ascii="Times New Roman" w:hAnsi="Times New Roman"/>
    </w:rPr>
  </w:style>
  <w:style w:type="paragraph" w:styleId="TOC1">
    <w:name w:val="toc 1"/>
    <w:basedOn w:val="TOCBase"/>
    <w:next w:val="Normal"/>
    <w:rsid w:val="000D54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54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4EB"/>
    <w:rPr>
      <w:rFonts w:ascii="Times New Roman" w:eastAsia="Times New Roman" w:hAnsi="Times New Roman" w:cs="Times New Roman"/>
      <w:sz w:val="16"/>
      <w:lang w:eastAsia="en-US"/>
    </w:rPr>
  </w:style>
  <w:style w:type="paragraph" w:styleId="Title">
    <w:name w:val="Title"/>
    <w:basedOn w:val="HeadingBase"/>
    <w:link w:val="TitleChar"/>
    <w:qFormat/>
    <w:rsid w:val="000D54EB"/>
    <w:pPr>
      <w:spacing w:before="5040"/>
      <w:jc w:val="center"/>
    </w:pPr>
    <w:rPr>
      <w:sz w:val="48"/>
      <w:szCs w:val="72"/>
      <w:lang w:val="en-US"/>
    </w:rPr>
  </w:style>
  <w:style w:type="character" w:customStyle="1" w:styleId="TitleChar">
    <w:name w:val="Title Char"/>
    <w:basedOn w:val="DefaultParagraphFont"/>
    <w:link w:val="Title"/>
    <w:rsid w:val="000D54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4EB"/>
    <w:pPr>
      <w:tabs>
        <w:tab w:val="left" w:pos="3600"/>
        <w:tab w:val="left" w:pos="3958"/>
      </w:tabs>
    </w:pPr>
  </w:style>
  <w:style w:type="paragraph" w:styleId="List">
    <w:name w:val="List"/>
    <w:basedOn w:val="BodyText"/>
    <w:next w:val="BodyText"/>
    <w:rsid w:val="000D54EB"/>
    <w:pPr>
      <w:tabs>
        <w:tab w:val="left" w:pos="340"/>
      </w:tabs>
      <w:spacing w:before="60" w:after="60"/>
      <w:ind w:left="340" w:hanging="340"/>
    </w:pPr>
  </w:style>
  <w:style w:type="paragraph" w:styleId="ListBullet">
    <w:name w:val="List Bullet"/>
    <w:basedOn w:val="List"/>
    <w:rsid w:val="000D54EB"/>
    <w:pPr>
      <w:numPr>
        <w:numId w:val="10"/>
      </w:numPr>
      <w:tabs>
        <w:tab w:val="clear" w:pos="340"/>
      </w:tabs>
      <w:spacing w:before="40" w:after="40"/>
    </w:pPr>
  </w:style>
  <w:style w:type="paragraph" w:customStyle="1" w:styleId="Note">
    <w:name w:val="Note"/>
    <w:basedOn w:val="BodyText"/>
    <w:rsid w:val="000D54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4EB"/>
    <w:pPr>
      <w:framePr w:wrap="auto" w:hAnchor="text" w:y="6049"/>
    </w:pPr>
    <w:rPr>
      <w:color w:val="000000"/>
      <w:sz w:val="40"/>
    </w:rPr>
  </w:style>
  <w:style w:type="paragraph" w:customStyle="1" w:styleId="TOCTitle">
    <w:name w:val="TOCTitle"/>
    <w:basedOn w:val="Heading1"/>
    <w:rsid w:val="000D54EB"/>
    <w:pPr>
      <w:spacing w:after="240"/>
      <w:jc w:val="center"/>
      <w:outlineLvl w:val="9"/>
    </w:pPr>
    <w:rPr>
      <w:caps/>
    </w:rPr>
  </w:style>
  <w:style w:type="paragraph" w:customStyle="1" w:styleId="Version">
    <w:name w:val="Version"/>
    <w:rsid w:val="000D54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54EB"/>
    <w:pPr>
      <w:numPr>
        <w:numId w:val="11"/>
      </w:numPr>
      <w:tabs>
        <w:tab w:val="clear" w:pos="680"/>
      </w:tabs>
    </w:pPr>
  </w:style>
  <w:style w:type="paragraph" w:styleId="Index1">
    <w:name w:val="index 1"/>
    <w:basedOn w:val="Normal"/>
    <w:next w:val="Normal"/>
    <w:semiHidden/>
    <w:rsid w:val="000D54EB"/>
    <w:pPr>
      <w:keepNext w:val="0"/>
      <w:tabs>
        <w:tab w:val="right" w:pos="4176"/>
      </w:tabs>
      <w:ind w:left="198" w:hanging="198"/>
    </w:pPr>
    <w:rPr>
      <w:rFonts w:ascii="Garamond" w:hAnsi="Garamond"/>
    </w:rPr>
  </w:style>
  <w:style w:type="paragraph" w:styleId="IndexHeading">
    <w:name w:val="index heading"/>
    <w:basedOn w:val="Normal"/>
    <w:next w:val="Index1"/>
    <w:semiHidden/>
    <w:rsid w:val="000D54EB"/>
    <w:pPr>
      <w:spacing w:before="120" w:after="120"/>
    </w:pPr>
    <w:rPr>
      <w:rFonts w:ascii="Arial" w:hAnsi="Arial"/>
      <w:b/>
      <w:color w:val="918585"/>
      <w:sz w:val="24"/>
    </w:rPr>
  </w:style>
  <w:style w:type="paragraph" w:styleId="Header">
    <w:name w:val="header"/>
    <w:basedOn w:val="Normal"/>
    <w:link w:val="HeaderChar"/>
    <w:rsid w:val="000D54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4EB"/>
    <w:rPr>
      <w:rFonts w:ascii="Times New Roman" w:eastAsia="Times New Roman" w:hAnsi="Times New Roman" w:cs="Times New Roman"/>
      <w:sz w:val="16"/>
      <w:szCs w:val="20"/>
      <w:lang w:val="en-GB" w:eastAsia="en-US"/>
    </w:rPr>
  </w:style>
  <w:style w:type="paragraph" w:customStyle="1" w:styleId="Chapter">
    <w:name w:val="Chapter"/>
    <w:basedOn w:val="Normal"/>
    <w:rsid w:val="000D54EB"/>
    <w:pPr>
      <w:spacing w:before="240"/>
    </w:pPr>
    <w:rPr>
      <w:rFonts w:ascii="Times New Roman" w:hAnsi="Times New Roman"/>
      <w:smallCaps/>
      <w:spacing w:val="80"/>
      <w:sz w:val="28"/>
    </w:rPr>
  </w:style>
  <w:style w:type="paragraph" w:customStyle="1" w:styleId="InChapter">
    <w:name w:val="InChapter"/>
    <w:basedOn w:val="Heading3"/>
    <w:rsid w:val="000D54EB"/>
    <w:pPr>
      <w:spacing w:after="240"/>
      <w:outlineLvl w:val="9"/>
    </w:pPr>
    <w:rPr>
      <w:noProof/>
    </w:rPr>
  </w:style>
  <w:style w:type="paragraph" w:styleId="Index2">
    <w:name w:val="index 2"/>
    <w:basedOn w:val="Normal"/>
    <w:next w:val="Normal"/>
    <w:semiHidden/>
    <w:rsid w:val="000D54EB"/>
    <w:pPr>
      <w:tabs>
        <w:tab w:val="right" w:pos="4176"/>
      </w:tabs>
      <w:ind w:left="568" w:hanging="284"/>
    </w:pPr>
    <w:rPr>
      <w:rFonts w:ascii="Garamond" w:hAnsi="Garamond"/>
    </w:rPr>
  </w:style>
  <w:style w:type="paragraph" w:customStyle="1" w:styleId="Byline">
    <w:name w:val="Byline"/>
    <w:rsid w:val="000D54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4EB"/>
    <w:pPr>
      <w:tabs>
        <w:tab w:val="clear" w:pos="3600"/>
        <w:tab w:val="clear" w:pos="3958"/>
      </w:tabs>
      <w:jc w:val="right"/>
    </w:pPr>
  </w:style>
  <w:style w:type="character" w:styleId="Emphasis">
    <w:name w:val="Emphasis"/>
    <w:basedOn w:val="DefaultParagraphFont"/>
    <w:qFormat/>
    <w:rsid w:val="000D54EB"/>
    <w:rPr>
      <w:i/>
    </w:rPr>
  </w:style>
  <w:style w:type="paragraph" w:styleId="Caption">
    <w:name w:val="caption"/>
    <w:basedOn w:val="BodyText"/>
    <w:next w:val="Normal"/>
    <w:qFormat/>
    <w:rsid w:val="000D54EB"/>
    <w:pPr>
      <w:framePr w:w="2268" w:hSpace="181" w:vSpace="181" w:wrap="around" w:vAnchor="text" w:hAnchor="page" w:x="1135" w:y="285" w:anchorLock="1"/>
    </w:pPr>
    <w:rPr>
      <w:i/>
    </w:rPr>
  </w:style>
  <w:style w:type="paragraph" w:customStyle="1" w:styleId="MiniTOCTitle">
    <w:name w:val="MiniTOCTitle"/>
    <w:basedOn w:val="Heading4"/>
    <w:rsid w:val="000D54EB"/>
    <w:pPr>
      <w:spacing w:before="240"/>
      <w:outlineLvl w:val="9"/>
    </w:pPr>
    <w:rPr>
      <w:noProof/>
      <w:sz w:val="24"/>
    </w:rPr>
  </w:style>
  <w:style w:type="paragraph" w:customStyle="1" w:styleId="MiniTOCItem">
    <w:name w:val="MiniTOCItem"/>
    <w:basedOn w:val="ListBullet"/>
    <w:rsid w:val="000D54EB"/>
    <w:pPr>
      <w:numPr>
        <w:numId w:val="0"/>
      </w:numPr>
      <w:tabs>
        <w:tab w:val="right" w:leader="dot" w:pos="6521"/>
      </w:tabs>
      <w:spacing w:before="0" w:after="0"/>
    </w:pPr>
  </w:style>
  <w:style w:type="paragraph" w:customStyle="1" w:styleId="TOFTitle">
    <w:name w:val="TOFTitle"/>
    <w:basedOn w:val="TOCTitle"/>
    <w:rsid w:val="000D54EB"/>
  </w:style>
  <w:style w:type="paragraph" w:styleId="TableofFigures">
    <w:name w:val="table of figures"/>
    <w:basedOn w:val="Normal"/>
    <w:next w:val="Normal"/>
    <w:semiHidden/>
    <w:rsid w:val="000D54EB"/>
    <w:pPr>
      <w:tabs>
        <w:tab w:val="right" w:leader="dot" w:pos="9072"/>
      </w:tabs>
      <w:ind w:left="970" w:hanging="403"/>
    </w:pPr>
    <w:rPr>
      <w:rFonts w:ascii="Times New Roman" w:hAnsi="Times New Roman"/>
      <w:b/>
    </w:rPr>
  </w:style>
  <w:style w:type="paragraph" w:styleId="ListNumber">
    <w:name w:val="List Number"/>
    <w:basedOn w:val="List"/>
    <w:rsid w:val="000D54EB"/>
    <w:pPr>
      <w:numPr>
        <w:numId w:val="13"/>
      </w:numPr>
      <w:tabs>
        <w:tab w:val="clear" w:pos="340"/>
      </w:tabs>
    </w:pPr>
  </w:style>
  <w:style w:type="character" w:customStyle="1" w:styleId="WingdingSymbols">
    <w:name w:val="Wingding Symbols"/>
    <w:rsid w:val="000D54EB"/>
    <w:rPr>
      <w:rFonts w:ascii="Wingdings" w:hAnsi="Wingdings"/>
    </w:rPr>
  </w:style>
  <w:style w:type="paragraph" w:customStyle="1" w:styleId="TableHeading">
    <w:name w:val="Table Heading"/>
    <w:basedOn w:val="HeadingBase"/>
    <w:rsid w:val="000D54EB"/>
    <w:pPr>
      <w:keepLines/>
      <w:pBdr>
        <w:bottom w:val="single" w:sz="6" w:space="1" w:color="918585"/>
      </w:pBdr>
      <w:spacing w:before="240"/>
    </w:pPr>
  </w:style>
  <w:style w:type="character" w:customStyle="1" w:styleId="HotSpot">
    <w:name w:val="HotSpot"/>
    <w:rsid w:val="000D54EB"/>
    <w:rPr>
      <w:color w:val="0033CC"/>
      <w:u w:val="none"/>
    </w:rPr>
  </w:style>
  <w:style w:type="paragraph" w:customStyle="1" w:styleId="BodyTextRight">
    <w:name w:val="Body Text Right"/>
    <w:basedOn w:val="BodyText"/>
    <w:rsid w:val="000D54EB"/>
    <w:pPr>
      <w:spacing w:before="0" w:after="0"/>
      <w:jc w:val="right"/>
    </w:pPr>
  </w:style>
  <w:style w:type="paragraph" w:styleId="Index3">
    <w:name w:val="index 3"/>
    <w:basedOn w:val="ListNumber2"/>
    <w:next w:val="Normal"/>
    <w:semiHidden/>
    <w:rsid w:val="000D54EB"/>
    <w:pPr>
      <w:numPr>
        <w:numId w:val="0"/>
      </w:numPr>
      <w:tabs>
        <w:tab w:val="right" w:leader="dot" w:pos="4176"/>
      </w:tabs>
    </w:pPr>
  </w:style>
  <w:style w:type="paragraph" w:styleId="ListNumber2">
    <w:name w:val="List Number 2"/>
    <w:basedOn w:val="List2"/>
    <w:rsid w:val="000D54EB"/>
    <w:pPr>
      <w:numPr>
        <w:numId w:val="8"/>
      </w:numPr>
      <w:tabs>
        <w:tab w:val="clear" w:pos="1060"/>
      </w:tabs>
    </w:pPr>
  </w:style>
  <w:style w:type="paragraph" w:customStyle="1" w:styleId="MarginNote">
    <w:name w:val="Margin Note"/>
    <w:basedOn w:val="BodyText"/>
    <w:rsid w:val="000D54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4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4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54EB"/>
    <w:rPr>
      <w:sz w:val="32"/>
    </w:rPr>
  </w:style>
  <w:style w:type="paragraph" w:customStyle="1" w:styleId="HeadingProcedure">
    <w:name w:val="Heading Procedure"/>
    <w:basedOn w:val="HeadingBase"/>
    <w:next w:val="Normal"/>
    <w:rsid w:val="000D54EB"/>
    <w:pPr>
      <w:tabs>
        <w:tab w:val="left" w:pos="0"/>
      </w:tabs>
      <w:spacing w:before="120" w:after="60"/>
    </w:pPr>
    <w:rPr>
      <w:i/>
      <w:color w:val="918585"/>
      <w:sz w:val="22"/>
    </w:rPr>
  </w:style>
  <w:style w:type="paragraph" w:customStyle="1" w:styleId="TableBodyText">
    <w:name w:val="Table Body Text"/>
    <w:basedOn w:val="BodyText"/>
    <w:rsid w:val="000D54EB"/>
    <w:pPr>
      <w:spacing w:before="60" w:after="60"/>
    </w:pPr>
  </w:style>
  <w:style w:type="paragraph" w:styleId="ListContinue">
    <w:name w:val="List Continue"/>
    <w:basedOn w:val="List"/>
    <w:rsid w:val="000D54EB"/>
    <w:pPr>
      <w:ind w:firstLine="0"/>
    </w:pPr>
  </w:style>
  <w:style w:type="paragraph" w:customStyle="1" w:styleId="ListNote">
    <w:name w:val="List Note"/>
    <w:basedOn w:val="List"/>
    <w:rsid w:val="000D54EB"/>
    <w:pPr>
      <w:pBdr>
        <w:top w:val="single" w:sz="6" w:space="2" w:color="918585"/>
        <w:bottom w:val="single" w:sz="6" w:space="2" w:color="918585"/>
      </w:pBdr>
      <w:tabs>
        <w:tab w:val="left" w:pos="1021"/>
      </w:tabs>
      <w:ind w:firstLine="0"/>
    </w:pPr>
  </w:style>
  <w:style w:type="paragraph" w:customStyle="1" w:styleId="Warning">
    <w:name w:val="Warning"/>
    <w:basedOn w:val="BodyText"/>
    <w:rsid w:val="000D54EB"/>
    <w:pPr>
      <w:shd w:val="clear" w:color="auto" w:fill="D9D9D9"/>
      <w:tabs>
        <w:tab w:val="left" w:pos="992"/>
      </w:tabs>
      <w:ind w:left="119" w:right="119"/>
    </w:pPr>
    <w:rPr>
      <w:sz w:val="20"/>
    </w:rPr>
  </w:style>
  <w:style w:type="paragraph" w:customStyle="1" w:styleId="MarginIcons">
    <w:name w:val="Margin Icons"/>
    <w:basedOn w:val="BodyText"/>
    <w:rsid w:val="000D54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4EB"/>
    <w:rPr>
      <w:rFonts w:ascii="Courier New" w:hAnsi="Courier New"/>
    </w:rPr>
  </w:style>
  <w:style w:type="paragraph" w:customStyle="1" w:styleId="NoteBullet">
    <w:name w:val="Note Bullet"/>
    <w:basedOn w:val="Note"/>
    <w:rsid w:val="000D54EB"/>
    <w:pPr>
      <w:tabs>
        <w:tab w:val="clear" w:pos="680"/>
      </w:tabs>
      <w:spacing w:before="60" w:after="60"/>
    </w:pPr>
  </w:style>
  <w:style w:type="paragraph" w:customStyle="1" w:styleId="SubHeading2">
    <w:name w:val="SubHeading2"/>
    <w:basedOn w:val="HeadingBase"/>
    <w:rsid w:val="000D54EB"/>
    <w:pPr>
      <w:spacing w:before="240" w:after="60"/>
    </w:pPr>
    <w:rPr>
      <w:sz w:val="20"/>
    </w:rPr>
  </w:style>
  <w:style w:type="paragraph" w:customStyle="1" w:styleId="SubHeading1">
    <w:name w:val="SubHeading1"/>
    <w:basedOn w:val="HeadingBase"/>
    <w:rsid w:val="000D54EB"/>
    <w:pPr>
      <w:spacing w:before="240" w:after="60"/>
    </w:pPr>
    <w:rPr>
      <w:color w:val="918585"/>
      <w:sz w:val="22"/>
    </w:rPr>
  </w:style>
  <w:style w:type="paragraph" w:customStyle="1" w:styleId="SideHeading">
    <w:name w:val="Side Heading"/>
    <w:basedOn w:val="HeadingBase"/>
    <w:rsid w:val="000D54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4EB"/>
    <w:pPr>
      <w:numPr>
        <w:numId w:val="9"/>
      </w:numPr>
    </w:pPr>
  </w:style>
  <w:style w:type="paragraph" w:styleId="PlainText">
    <w:name w:val="Plain Text"/>
    <w:basedOn w:val="Normal"/>
    <w:link w:val="PlainTextChar"/>
    <w:rsid w:val="000D54EB"/>
    <w:rPr>
      <w:sz w:val="20"/>
    </w:rPr>
  </w:style>
  <w:style w:type="character" w:customStyle="1" w:styleId="PlainTextChar">
    <w:name w:val="Plain Text Char"/>
    <w:basedOn w:val="DefaultParagraphFont"/>
    <w:link w:val="PlainText"/>
    <w:rsid w:val="000D54EB"/>
    <w:rPr>
      <w:rFonts w:ascii="Courier New" w:eastAsia="Times New Roman" w:hAnsi="Courier New" w:cs="Times New Roman"/>
      <w:sz w:val="20"/>
      <w:szCs w:val="20"/>
      <w:lang w:eastAsia="en-US"/>
    </w:rPr>
  </w:style>
  <w:style w:type="character" w:customStyle="1" w:styleId="MenuOption">
    <w:name w:val="Menu Option"/>
    <w:basedOn w:val="DefaultParagraphFont"/>
    <w:rsid w:val="000D54EB"/>
    <w:rPr>
      <w:b/>
      <w:smallCaps/>
    </w:rPr>
  </w:style>
  <w:style w:type="paragraph" w:customStyle="1" w:styleId="TableListNumber">
    <w:name w:val="Table List Number"/>
    <w:basedOn w:val="ListNumber"/>
    <w:rsid w:val="000D54EB"/>
    <w:pPr>
      <w:numPr>
        <w:numId w:val="0"/>
      </w:numPr>
    </w:pPr>
  </w:style>
  <w:style w:type="paragraph" w:styleId="TOC4">
    <w:name w:val="toc 4"/>
    <w:basedOn w:val="TOCBase"/>
    <w:next w:val="Normal"/>
    <w:semiHidden/>
    <w:rsid w:val="000D54EB"/>
    <w:pPr>
      <w:tabs>
        <w:tab w:val="right" w:leader="dot" w:pos="9071"/>
      </w:tabs>
      <w:ind w:left="1701"/>
    </w:pPr>
  </w:style>
  <w:style w:type="paragraph" w:customStyle="1" w:styleId="ListAlpha">
    <w:name w:val="List Alpha"/>
    <w:basedOn w:val="List"/>
    <w:rsid w:val="000D54EB"/>
    <w:pPr>
      <w:numPr>
        <w:numId w:val="7"/>
      </w:numPr>
    </w:pPr>
  </w:style>
  <w:style w:type="paragraph" w:customStyle="1" w:styleId="ListAlpha2">
    <w:name w:val="List Alpha 2"/>
    <w:basedOn w:val="List2"/>
    <w:rsid w:val="000D54EB"/>
    <w:pPr>
      <w:numPr>
        <w:numId w:val="6"/>
      </w:numPr>
    </w:pPr>
  </w:style>
  <w:style w:type="paragraph" w:styleId="List2">
    <w:name w:val="List 2"/>
    <w:basedOn w:val="BodyText"/>
    <w:rsid w:val="000D54EB"/>
    <w:pPr>
      <w:tabs>
        <w:tab w:val="left" w:pos="680"/>
      </w:tabs>
      <w:spacing w:before="60" w:after="60"/>
      <w:ind w:left="680" w:hanging="340"/>
    </w:pPr>
  </w:style>
  <w:style w:type="paragraph" w:styleId="List3">
    <w:name w:val="List 3"/>
    <w:basedOn w:val="BodyText"/>
    <w:rsid w:val="000D54EB"/>
    <w:pPr>
      <w:tabs>
        <w:tab w:val="left" w:pos="1021"/>
      </w:tabs>
      <w:spacing w:before="60" w:after="60"/>
      <w:ind w:left="1020" w:hanging="340"/>
    </w:pPr>
  </w:style>
  <w:style w:type="paragraph" w:styleId="List4">
    <w:name w:val="List 4"/>
    <w:basedOn w:val="BodyText"/>
    <w:rsid w:val="000D54EB"/>
    <w:pPr>
      <w:tabs>
        <w:tab w:val="left" w:pos="1361"/>
      </w:tabs>
      <w:spacing w:before="60" w:after="60"/>
      <w:ind w:left="1361" w:hanging="340"/>
    </w:pPr>
  </w:style>
  <w:style w:type="paragraph" w:styleId="List5">
    <w:name w:val="List 5"/>
    <w:basedOn w:val="BodyText"/>
    <w:rsid w:val="000D54EB"/>
    <w:pPr>
      <w:tabs>
        <w:tab w:val="left" w:pos="1701"/>
      </w:tabs>
      <w:spacing w:before="60" w:after="60"/>
      <w:ind w:left="1701" w:hanging="340"/>
    </w:pPr>
  </w:style>
  <w:style w:type="paragraph" w:styleId="ListBullet3">
    <w:name w:val="List Bullet 3"/>
    <w:basedOn w:val="List3"/>
    <w:rsid w:val="000D54EB"/>
    <w:pPr>
      <w:numPr>
        <w:numId w:val="12"/>
      </w:numPr>
      <w:tabs>
        <w:tab w:val="clear" w:pos="1021"/>
      </w:tabs>
      <w:ind w:left="1037" w:hanging="357"/>
    </w:pPr>
  </w:style>
  <w:style w:type="paragraph" w:styleId="ListBullet4">
    <w:name w:val="List Bullet 4"/>
    <w:basedOn w:val="List4"/>
    <w:rsid w:val="000D54EB"/>
    <w:pPr>
      <w:numPr>
        <w:numId w:val="1"/>
      </w:numPr>
      <w:tabs>
        <w:tab w:val="clear" w:pos="1361"/>
      </w:tabs>
    </w:pPr>
  </w:style>
  <w:style w:type="paragraph" w:styleId="ListBullet5">
    <w:name w:val="List Bullet 5"/>
    <w:basedOn w:val="List5"/>
    <w:rsid w:val="000D54EB"/>
    <w:pPr>
      <w:numPr>
        <w:numId w:val="2"/>
      </w:numPr>
    </w:pPr>
  </w:style>
  <w:style w:type="paragraph" w:styleId="ListContinue2">
    <w:name w:val="List Continue 2"/>
    <w:basedOn w:val="List2"/>
    <w:rsid w:val="000D54EB"/>
    <w:pPr>
      <w:ind w:firstLine="0"/>
    </w:pPr>
  </w:style>
  <w:style w:type="paragraph" w:styleId="ListContinue3">
    <w:name w:val="List Continue 3"/>
    <w:basedOn w:val="List3"/>
    <w:rsid w:val="000D54EB"/>
    <w:pPr>
      <w:ind w:left="1021" w:firstLine="0"/>
    </w:pPr>
  </w:style>
  <w:style w:type="paragraph" w:styleId="ListContinue4">
    <w:name w:val="List Continue 4"/>
    <w:basedOn w:val="List4"/>
    <w:rsid w:val="000D54EB"/>
    <w:pPr>
      <w:ind w:firstLine="0"/>
    </w:pPr>
  </w:style>
  <w:style w:type="paragraph" w:styleId="ListContinue5">
    <w:name w:val="List Continue 5"/>
    <w:basedOn w:val="List5"/>
    <w:rsid w:val="000D54EB"/>
    <w:pPr>
      <w:ind w:firstLine="0"/>
    </w:pPr>
  </w:style>
  <w:style w:type="paragraph" w:styleId="ListNumber3">
    <w:name w:val="List Number 3"/>
    <w:basedOn w:val="List3"/>
    <w:rsid w:val="000D54EB"/>
    <w:pPr>
      <w:numPr>
        <w:numId w:val="3"/>
      </w:numPr>
    </w:pPr>
  </w:style>
  <w:style w:type="paragraph" w:styleId="ListNumber4">
    <w:name w:val="List Number 4"/>
    <w:basedOn w:val="List4"/>
    <w:rsid w:val="000D54EB"/>
    <w:pPr>
      <w:numPr>
        <w:numId w:val="4"/>
      </w:numPr>
    </w:pPr>
  </w:style>
  <w:style w:type="paragraph" w:styleId="ListNumber5">
    <w:name w:val="List Number 5"/>
    <w:basedOn w:val="List5"/>
    <w:rsid w:val="000D54EB"/>
    <w:pPr>
      <w:numPr>
        <w:numId w:val="5"/>
      </w:numPr>
    </w:pPr>
  </w:style>
  <w:style w:type="paragraph" w:styleId="BlockText">
    <w:name w:val="Block Text"/>
    <w:basedOn w:val="Normal"/>
    <w:rsid w:val="000D54EB"/>
    <w:pPr>
      <w:spacing w:after="120"/>
      <w:ind w:left="1440" w:right="1440"/>
    </w:pPr>
  </w:style>
  <w:style w:type="character" w:customStyle="1" w:styleId="Subscript">
    <w:name w:val="Subscript"/>
    <w:basedOn w:val="DefaultParagraphFont"/>
    <w:rsid w:val="000D54EB"/>
    <w:rPr>
      <w:sz w:val="16"/>
      <w:vertAlign w:val="subscript"/>
    </w:rPr>
  </w:style>
  <w:style w:type="character" w:customStyle="1" w:styleId="Superscript">
    <w:name w:val="Superscript"/>
    <w:basedOn w:val="DefaultParagraphFont"/>
    <w:rsid w:val="000D54EB"/>
    <w:rPr>
      <w:sz w:val="16"/>
      <w:vertAlign w:val="superscript"/>
    </w:rPr>
  </w:style>
  <w:style w:type="character" w:customStyle="1" w:styleId="Symbols">
    <w:name w:val="Symbols"/>
    <w:basedOn w:val="DefaultParagraphFont"/>
    <w:rsid w:val="000D54EB"/>
    <w:rPr>
      <w:rFonts w:ascii="Symbol" w:hAnsi="Symbol"/>
    </w:rPr>
  </w:style>
  <w:style w:type="character" w:customStyle="1" w:styleId="MenuOptions">
    <w:name w:val="Menu Options"/>
    <w:basedOn w:val="DefaultParagraphFont"/>
    <w:rsid w:val="000D54EB"/>
    <w:rPr>
      <w:rFonts w:ascii="Arial Narrow" w:hAnsi="Arial Narrow"/>
      <w:smallCaps/>
    </w:rPr>
  </w:style>
  <w:style w:type="character" w:customStyle="1" w:styleId="Buttons">
    <w:name w:val="Buttons"/>
    <w:basedOn w:val="DefaultParagraphFont"/>
    <w:rsid w:val="000D54EB"/>
    <w:rPr>
      <w:b/>
    </w:rPr>
  </w:style>
  <w:style w:type="character" w:customStyle="1" w:styleId="Underlined">
    <w:name w:val="Underlined"/>
    <w:basedOn w:val="DefaultParagraphFont"/>
    <w:rsid w:val="000D54EB"/>
    <w:rPr>
      <w:u w:val="single"/>
    </w:rPr>
  </w:style>
  <w:style w:type="paragraph" w:customStyle="1" w:styleId="TableBodyTextRight">
    <w:name w:val="Table Body Text Right"/>
    <w:basedOn w:val="TableBodyText"/>
    <w:rsid w:val="000D54EB"/>
    <w:pPr>
      <w:widowControl w:val="0"/>
      <w:autoSpaceDE w:val="0"/>
      <w:autoSpaceDN w:val="0"/>
      <w:adjustRightInd w:val="0"/>
      <w:jc w:val="right"/>
    </w:pPr>
    <w:rPr>
      <w:rFonts w:cs="Arial"/>
      <w:szCs w:val="18"/>
    </w:rPr>
  </w:style>
  <w:style w:type="paragraph" w:customStyle="1" w:styleId="CopyrightText">
    <w:name w:val="Copyright Text"/>
    <w:basedOn w:val="BodyText"/>
    <w:rsid w:val="000D54EB"/>
    <w:rPr>
      <w:sz w:val="18"/>
    </w:rPr>
  </w:style>
  <w:style w:type="paragraph" w:customStyle="1" w:styleId="BodySmallRight">
    <w:name w:val="Body Small Right"/>
    <w:basedOn w:val="BodyTextRight"/>
    <w:rsid w:val="000D54EB"/>
    <w:rPr>
      <w:sz w:val="18"/>
      <w:szCs w:val="18"/>
    </w:rPr>
  </w:style>
  <w:style w:type="paragraph" w:customStyle="1" w:styleId="MarginEdition">
    <w:name w:val="Margin Edition"/>
    <w:basedOn w:val="MarginNote"/>
    <w:rsid w:val="000D54EB"/>
    <w:pPr>
      <w:spacing w:before="0" w:after="0"/>
    </w:pPr>
    <w:rPr>
      <w:rFonts w:ascii="Times New Roman" w:hAnsi="Times New Roman"/>
      <w:color w:val="999999"/>
    </w:rPr>
  </w:style>
  <w:style w:type="paragraph" w:customStyle="1" w:styleId="Spacer">
    <w:name w:val="Spacer"/>
    <w:basedOn w:val="Normal"/>
    <w:rsid w:val="000D54EB"/>
    <w:rPr>
      <w:sz w:val="2"/>
      <w:szCs w:val="2"/>
    </w:rPr>
  </w:style>
  <w:style w:type="character" w:customStyle="1" w:styleId="Small">
    <w:name w:val="Small"/>
    <w:basedOn w:val="DefaultParagraphFont"/>
    <w:rsid w:val="000D54EB"/>
    <w:rPr>
      <w:sz w:val="16"/>
    </w:rPr>
  </w:style>
  <w:style w:type="paragraph" w:customStyle="1" w:styleId="WideTable">
    <w:name w:val="Wide Table"/>
    <w:basedOn w:val="Normal"/>
    <w:rsid w:val="000D54EB"/>
    <w:pPr>
      <w:ind w:left="-1418"/>
    </w:pPr>
    <w:rPr>
      <w:sz w:val="2"/>
      <w:szCs w:val="2"/>
    </w:rPr>
  </w:style>
  <w:style w:type="character" w:styleId="PageNumber">
    <w:name w:val="page number"/>
    <w:basedOn w:val="DefaultParagraphFont"/>
    <w:rsid w:val="000D54EB"/>
  </w:style>
  <w:style w:type="paragraph" w:styleId="Quote">
    <w:name w:val="Quote"/>
    <w:basedOn w:val="Heading1"/>
    <w:link w:val="QuoteChar"/>
    <w:qFormat/>
    <w:rsid w:val="000D54EB"/>
    <w:rPr>
      <w:b w:val="0"/>
      <w:sz w:val="72"/>
      <w:szCs w:val="72"/>
      <w:lang w:val="en-NZ"/>
    </w:rPr>
  </w:style>
  <w:style w:type="character" w:customStyle="1" w:styleId="QuoteChar">
    <w:name w:val="Quote Char"/>
    <w:basedOn w:val="DefaultParagraphFont"/>
    <w:link w:val="Quote"/>
    <w:rsid w:val="000D54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4EB"/>
    <w:pPr>
      <w:pageBreakBefore/>
    </w:pPr>
  </w:style>
  <w:style w:type="paragraph" w:customStyle="1" w:styleId="Border">
    <w:name w:val="Border"/>
    <w:basedOn w:val="Normal"/>
    <w:qFormat/>
    <w:rsid w:val="000D54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4EB"/>
    <w:rPr>
      <w:b/>
      <w:bCs/>
      <w:i/>
      <w:iCs/>
      <w:color w:val="auto"/>
    </w:rPr>
  </w:style>
  <w:style w:type="paragraph" w:styleId="IntenseQuote">
    <w:name w:val="Intense Quote"/>
    <w:basedOn w:val="Normal"/>
    <w:next w:val="Normal"/>
    <w:link w:val="IntenseQuoteChar"/>
    <w:uiPriority w:val="30"/>
    <w:qFormat/>
    <w:rsid w:val="000D54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4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54EB"/>
    <w:rPr>
      <w:smallCaps/>
      <w:color w:val="auto"/>
      <w:u w:val="single"/>
    </w:rPr>
  </w:style>
  <w:style w:type="character" w:styleId="IntenseReference">
    <w:name w:val="Intense Reference"/>
    <w:basedOn w:val="DefaultParagraphFont"/>
    <w:uiPriority w:val="32"/>
    <w:qFormat/>
    <w:rsid w:val="000D54EB"/>
    <w:rPr>
      <w:b/>
      <w:bCs/>
      <w:smallCaps/>
      <w:color w:val="auto"/>
      <w:spacing w:val="5"/>
      <w:u w:val="single"/>
    </w:rPr>
  </w:style>
  <w:style w:type="paragraph" w:customStyle="1" w:styleId="2ColumnHeading">
    <w:name w:val="2Column Heading"/>
    <w:basedOn w:val="BodyText"/>
    <w:qFormat/>
    <w:rsid w:val="000D54EB"/>
    <w:pPr>
      <w:spacing w:after="60"/>
      <w:ind w:left="-2268"/>
    </w:pPr>
    <w:rPr>
      <w:b/>
    </w:rPr>
  </w:style>
  <w:style w:type="paragraph" w:customStyle="1" w:styleId="Heading1TOC">
    <w:name w:val="Heading1 TOC"/>
    <w:basedOn w:val="Normal"/>
    <w:qFormat/>
    <w:rsid w:val="000D54EB"/>
    <w:pPr>
      <w:spacing w:before="240" w:after="120"/>
    </w:pPr>
    <w:rPr>
      <w:rFonts w:ascii="Times New Roman" w:hAnsi="Times New Roman"/>
      <w:b/>
      <w:sz w:val="32"/>
    </w:rPr>
  </w:style>
  <w:style w:type="paragraph" w:customStyle="1" w:styleId="Heading2TOC">
    <w:name w:val="Heading2 TOC"/>
    <w:basedOn w:val="Normal"/>
    <w:qFormat/>
    <w:rsid w:val="000D54EB"/>
    <w:pPr>
      <w:spacing w:before="240" w:after="60"/>
    </w:pPr>
    <w:rPr>
      <w:rFonts w:ascii="Times New Roman" w:hAnsi="Times New Roman"/>
      <w:b/>
      <w:sz w:val="28"/>
    </w:rPr>
  </w:style>
  <w:style w:type="character" w:customStyle="1" w:styleId="Underline">
    <w:name w:val="Underline"/>
    <w:basedOn w:val="DefaultParagraphFont"/>
    <w:qFormat/>
    <w:rsid w:val="000D54EB"/>
    <w:rPr>
      <w:u w:val="single"/>
    </w:rPr>
  </w:style>
  <w:style w:type="character" w:customStyle="1" w:styleId="BoldandItalics">
    <w:name w:val="Bold and Italics"/>
    <w:qFormat/>
    <w:rsid w:val="000D54EB"/>
    <w:rPr>
      <w:b/>
      <w:i/>
      <w:u w:val="none"/>
    </w:rPr>
  </w:style>
  <w:style w:type="paragraph" w:styleId="BalloonText">
    <w:name w:val="Balloon Text"/>
    <w:basedOn w:val="Normal"/>
    <w:link w:val="BalloonTextChar"/>
    <w:rsid w:val="000D54EB"/>
    <w:rPr>
      <w:rFonts w:ascii="Tahoma" w:hAnsi="Tahoma" w:cs="Tahoma"/>
      <w:sz w:val="16"/>
      <w:szCs w:val="16"/>
    </w:rPr>
  </w:style>
  <w:style w:type="character" w:customStyle="1" w:styleId="BalloonTextChar">
    <w:name w:val="Balloon Text Char"/>
    <w:basedOn w:val="DefaultParagraphFont"/>
    <w:link w:val="BalloonText"/>
    <w:rsid w:val="000D54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54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54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54EB"/>
    <w:rPr>
      <w:b/>
      <w:color w:val="660033"/>
      <w:spacing w:val="0"/>
    </w:rPr>
  </w:style>
  <w:style w:type="paragraph" w:customStyle="1" w:styleId="Nameditemlist">
    <w:name w:val="Named item list"/>
    <w:basedOn w:val="BodyText"/>
    <w:qFormat/>
    <w:rsid w:val="000D54EB"/>
    <w:pPr>
      <w:tabs>
        <w:tab w:val="left" w:pos="2835"/>
      </w:tabs>
      <w:ind w:left="2835" w:hanging="2835"/>
    </w:pPr>
  </w:style>
  <w:style w:type="paragraph" w:customStyle="1" w:styleId="BodyTextnopadding">
    <w:name w:val="Body Text no padding"/>
    <w:basedOn w:val="BodyText"/>
    <w:qFormat/>
    <w:rsid w:val="000D54EB"/>
    <w:pPr>
      <w:spacing w:before="0" w:after="0"/>
    </w:pPr>
  </w:style>
  <w:style w:type="paragraph" w:customStyle="1" w:styleId="BodyTextBold">
    <w:name w:val="Body Text Bold"/>
    <w:basedOn w:val="BodyText"/>
    <w:qFormat/>
    <w:rsid w:val="000D54EB"/>
    <w:rPr>
      <w:b/>
    </w:rPr>
  </w:style>
  <w:style w:type="character" w:styleId="Hyperlink">
    <w:name w:val="Hyperlink"/>
    <w:basedOn w:val="DefaultParagraphFont"/>
    <w:uiPriority w:val="99"/>
    <w:unhideWhenUsed/>
    <w:rsid w:val="00C87C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641</Words>
  <Characters>4027</Characters>
  <Application>Microsoft Office Word</Application>
  <DocSecurity>0</DocSecurity>
  <Lines>201</Lines>
  <Paragraphs>103</Paragraphs>
  <ScaleCrop>false</ScaleCrop>
  <Company>Author-it Software Corporation Ltd.</Company>
  <LinksUpToDate>false</LinksUpToDate>
  <CharactersWithSpaces>4565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DEFTST013 Plan test and evaluation processes</dc:title>
  <dc:subject>Approved</dc:subject>
  <dc:creator>Public Skills Australia</dc:creator>
  <cp:keywords>Release: 1</cp:keywords>
  <dc:description>Review Date: 12 April 2008</dc:description>
  <cp:lastModifiedBy>HSD_TPCMSd.prod</cp:lastModifiedBy>
  <cp:revision>3</cp:revision>
  <dcterms:created xsi:type="dcterms:W3CDTF">2024-11-07T11:53:00Z</dcterms:created>
  <dcterms:modified xsi:type="dcterms:W3CDTF">2024-11-07T11:53:00Z</dcterms:modified>
</cp:coreProperties>
</file>