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7F8" w:rsidP="00D227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DEFTST010 Conduct test and evaluation processes</w:t>
      </w:r>
      <w:r>
        <w:fldChar w:fldCharType="end"/>
      </w:r>
    </w:p>
    <w:p w:rsidR="00D227F8" w:rsidP="00D227F8">
      <w:pPr>
        <w:pStyle w:val="Version"/>
        <w:sectPr w:rsidSect="00D126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2690" w:rsidP="00D12690">
      <w:pPr>
        <w:pStyle w:val="SuperHeading"/>
      </w:pPr>
      <w:r w:rsidRPr="00D12690">
        <w:t>DEFTST010 Conduct test and evaluation processes</w:t>
      </w:r>
    </w:p>
    <w:p w:rsidR="00000000" w:rsidRPr="00D12690" w:rsidP="00D12690">
      <w:pPr>
        <w:pStyle w:val="Heading1"/>
      </w:pPr>
      <w:bookmarkStart w:id="1" w:name="O_1239752"/>
      <w:bookmarkEnd w:id="1"/>
      <w:r w:rsidRPr="00D1269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 w:rsidP="00D12690">
            <w:pPr>
              <w:pStyle w:val="BodyText"/>
            </w:pPr>
            <w:r w:rsidRPr="00D12690">
              <w:t>Release 1. This is the first release of this unit of competency in the DEF Defence Training Package.</w:t>
            </w:r>
          </w:p>
        </w:tc>
      </w:tr>
    </w:tbl>
    <w:p w:rsidR="00000000" w:rsidRPr="00D12690" w:rsidP="00D12690">
      <w:pPr>
        <w:pStyle w:val="NoPaddingFontSize1"/>
      </w:pPr>
    </w:p>
    <w:p w:rsidR="00000000" w:rsidRPr="00D12690" w:rsidP="00D12690">
      <w:pPr>
        <w:pStyle w:val="AllowPageBreak"/>
      </w:pPr>
    </w:p>
    <w:p w:rsidR="00000000" w:rsidRPr="00D12690" w:rsidP="00D12690">
      <w:pPr>
        <w:pStyle w:val="Heading1"/>
      </w:pPr>
      <w:bookmarkStart w:id="2" w:name="O_1239753"/>
      <w:bookmarkEnd w:id="2"/>
      <w:r w:rsidRPr="00D1269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 w:rsidP="00D12690">
            <w:pPr>
              <w:pStyle w:val="BodyText"/>
            </w:pPr>
            <w:r w:rsidRPr="00D12690">
              <w:t>This unit describes the skills and knowledge required to conduct test and evaluation process</w:t>
            </w:r>
            <w:r w:rsidRPr="00D12690">
              <w:t xml:space="preserve">es. </w:t>
            </w:r>
          </w:p>
          <w:p w:rsidR="00000000" w:rsidRPr="00D12690" w:rsidP="00D12690">
            <w:pPr>
              <w:pStyle w:val="BodyText"/>
            </w:pPr>
            <w:r w:rsidRPr="00D12690">
              <w:t>It includes conducting test and evaluation, monitoring test and evaluation processes, finalising test and evaluation processes and analysing test and evaluation evidence.</w:t>
            </w:r>
          </w:p>
          <w:p w:rsidR="00000000" w:rsidRPr="00D12690" w:rsidP="00D12690">
            <w:pPr>
              <w:pStyle w:val="BodyText"/>
            </w:pPr>
            <w:r w:rsidRPr="00D12690">
              <w:t>It also includes managing the testing process, capturing data and adhering to th</w:t>
            </w:r>
            <w:r w:rsidRPr="00D12690">
              <w:t>e test plan.</w:t>
            </w:r>
          </w:p>
          <w:p w:rsidR="00000000" w:rsidRPr="00D12690" w:rsidP="00D12690">
            <w:pPr>
              <w:pStyle w:val="BodyText"/>
            </w:pPr>
            <w:r w:rsidRPr="00D12690">
              <w:t>This unit was developed for Defence test and evaluation workers but is applicable to individuals who work in this field.</w:t>
            </w:r>
          </w:p>
          <w:p w:rsidR="00000000" w:rsidRPr="00D12690" w:rsidP="00D12690">
            <w:pPr>
              <w:pStyle w:val="BodyText"/>
            </w:pPr>
            <w:r w:rsidRPr="00D12690">
              <w:t xml:space="preserve">The skills and knowledge described in this unit must be applied within the legislative, regulatory and policy environment </w:t>
            </w:r>
            <w:r w:rsidRPr="00D12690">
              <w:t>in which they are carried out. Organisational policies and procedures must be consulted and adhered to.</w:t>
            </w:r>
          </w:p>
          <w:p w:rsidR="00000000" w:rsidRPr="00D12690" w:rsidP="00D12690">
            <w:pPr>
              <w:pStyle w:val="BodyText"/>
            </w:pPr>
            <w:r w:rsidRPr="00D12690">
              <w:t>Those undertaking this unit would work independently or as part of a team, under direct and indirect supervision, use discretion and judgement, and take</w:t>
            </w:r>
            <w:r w:rsidRPr="00D12690">
              <w:t xml:space="preserve"> responsibility for the quality of their output. They would perform complex tasks in a range of contexts.</w:t>
            </w:r>
          </w:p>
          <w:p w:rsidR="00000000" w:rsidRPr="00D12690" w:rsidP="00D12690">
            <w:pPr>
              <w:pStyle w:val="BodyText"/>
            </w:pPr>
            <w:r w:rsidRPr="00D12690">
              <w:t>No licensing, legislative or certification requirements apply to unit at the time of publication.</w:t>
            </w:r>
          </w:p>
        </w:tc>
      </w:tr>
    </w:tbl>
    <w:p w:rsidR="00000000" w:rsidRPr="00D12690" w:rsidP="00D12690">
      <w:pPr>
        <w:pStyle w:val="NoPaddingFontSize1"/>
      </w:pPr>
    </w:p>
    <w:p w:rsidR="00000000" w:rsidRPr="00D12690" w:rsidP="00D12690">
      <w:pPr>
        <w:pStyle w:val="AllowPageBreak"/>
      </w:pPr>
    </w:p>
    <w:p w:rsidR="00000000" w:rsidRPr="00D12690" w:rsidP="00D12690">
      <w:pPr>
        <w:pStyle w:val="Heading1"/>
      </w:pPr>
      <w:bookmarkStart w:id="3" w:name="O_1239754"/>
      <w:bookmarkEnd w:id="3"/>
      <w:r w:rsidRPr="00D1269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 w:rsidP="00D12690">
            <w:pPr>
              <w:pStyle w:val="BodyText"/>
            </w:pPr>
            <w:r w:rsidRPr="00D12690">
              <w:t>Not applicab</w:t>
            </w:r>
            <w:r w:rsidRPr="00D12690">
              <w:t>le.</w:t>
            </w:r>
          </w:p>
        </w:tc>
      </w:tr>
    </w:tbl>
    <w:p w:rsidR="00000000" w:rsidRPr="00D12690" w:rsidP="00D12690">
      <w:pPr>
        <w:pStyle w:val="NoPaddingFontSize1"/>
      </w:pPr>
    </w:p>
    <w:p w:rsidR="00000000" w:rsidRPr="00D12690" w:rsidP="00D12690">
      <w:pPr>
        <w:pStyle w:val="AllowPageBreak"/>
      </w:pPr>
    </w:p>
    <w:p w:rsidR="00000000" w:rsidRPr="00D12690" w:rsidP="00D12690">
      <w:pPr>
        <w:pStyle w:val="Heading1"/>
      </w:pPr>
      <w:bookmarkStart w:id="4" w:name="O_1239755"/>
      <w:bookmarkEnd w:id="4"/>
      <w:r w:rsidRPr="00D1269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 w:rsidP="00D12690">
            <w:pPr>
              <w:pStyle w:val="BodyText"/>
            </w:pPr>
            <w:r w:rsidRPr="00D12690">
              <w:t>Test and Evaluation.</w:t>
            </w:r>
          </w:p>
        </w:tc>
      </w:tr>
    </w:tbl>
    <w:p w:rsidR="00000000" w:rsidRPr="00D12690" w:rsidP="00D12690">
      <w:pPr>
        <w:pStyle w:val="NoPaddingFontSize1"/>
      </w:pPr>
    </w:p>
    <w:p w:rsidR="00000000" w:rsidRPr="00D12690" w:rsidP="00D12690">
      <w:pPr>
        <w:pStyle w:val="AllowPageBreak"/>
      </w:pPr>
    </w:p>
    <w:p w:rsidR="00000000" w:rsidRPr="00D12690" w:rsidP="00D12690">
      <w:pPr>
        <w:pStyle w:val="Heading1"/>
      </w:pPr>
      <w:bookmarkStart w:id="5" w:name="O_1239756"/>
      <w:bookmarkEnd w:id="5"/>
      <w:r w:rsidRPr="00D1269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 w:rsidP="00D12690">
            <w:pPr>
              <w:pStyle w:val="BodyText"/>
            </w:pPr>
            <w:r w:rsidRPr="00D12690">
              <w:t>Not applicable.</w:t>
            </w:r>
          </w:p>
        </w:tc>
      </w:tr>
    </w:tbl>
    <w:p w:rsidR="00000000" w:rsidRPr="00D12690" w:rsidP="00D12690">
      <w:pPr>
        <w:pStyle w:val="NoPaddingFontSize1"/>
      </w:pPr>
    </w:p>
    <w:p w:rsidR="00000000" w:rsidRPr="00D12690" w:rsidP="00D12690">
      <w:pPr>
        <w:pStyle w:val="AllowPageBreak"/>
      </w:pPr>
    </w:p>
    <w:p w:rsidR="00000000" w:rsidRPr="00D12690" w:rsidP="00D12690">
      <w:pPr>
        <w:pStyle w:val="Heading1"/>
      </w:pPr>
      <w:bookmarkStart w:id="6" w:name="O_1239757"/>
      <w:bookmarkEnd w:id="6"/>
      <w:r w:rsidRPr="00D1269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386"/>
        <w:gridCol w:w="714"/>
        <w:gridCol w:w="5991"/>
      </w:tblGrid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 w:rsidP="00D12690">
            <w:pPr>
              <w:pStyle w:val="BodyText"/>
            </w:pPr>
            <w:r w:rsidRPr="00D12690">
              <w:rPr>
                <w:rStyle w:val="SpecialBold"/>
              </w:rPr>
              <w:t>ELEMENTS</w:t>
            </w:r>
          </w:p>
        </w:tc>
        <w:tc>
          <w:tcPr>
            <w:tcW w:w="67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PERFORMANCE CRITERIA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 xml:space="preserve">Elements describe the </w:t>
            </w:r>
            <w:r w:rsidRPr="00D12690">
              <w:t>essential outcomes.</w:t>
            </w:r>
          </w:p>
        </w:tc>
        <w:tc>
          <w:tcPr>
            <w:tcW w:w="67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 xml:space="preserve">Performance criteria describe the performance needed to </w:t>
            </w:r>
            <w:r w:rsidRPr="00D12690">
              <w:t>demonstrate achievement of the element.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 w:rsidP="00D12690">
            <w:pPr>
              <w:pStyle w:val="BodyText"/>
            </w:pPr>
            <w:r w:rsidRPr="00D12690">
              <w:rPr>
                <w:rStyle w:val="SpecialBold"/>
              </w:rPr>
              <w:t>1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 w:rsidP="00D12690">
            <w:pPr>
              <w:pStyle w:val="BodyText"/>
            </w:pPr>
            <w:r w:rsidRPr="00D12690">
              <w:rPr>
                <w:rStyle w:val="SpecialBold"/>
              </w:rPr>
              <w:t>Conduct test and evaluation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1.1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Obtain and comply with test plan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1.2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Conduct activity briefs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1.3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Check and initiate safety systems and procedures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1.4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Coordinate test and evaluation activities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1.5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Perform qualitative and quantitative tests to observe and measure relevant critical parameters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1.6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Collect and record test data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 w:rsidP="00D12690">
            <w:pPr>
              <w:pStyle w:val="BodyText"/>
            </w:pPr>
            <w:r w:rsidRPr="00D12690">
              <w:rPr>
                <w:rStyle w:val="SpecialBold"/>
              </w:rPr>
              <w:t>2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 w:rsidP="00D12690">
            <w:pPr>
              <w:pStyle w:val="BodyText"/>
            </w:pPr>
            <w:r w:rsidRPr="00D12690">
              <w:rPr>
                <w:rStyle w:val="SpecialBold"/>
              </w:rPr>
              <w:t>Monitor test and evaluation processes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2.1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Monitor and amend test plans based on changing circumstances in consultation with team members, and include precise details for schedules of activities, milestones and resources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2.2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Identify risks and apply risk management processes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2.3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Apply managem</w:t>
            </w:r>
            <w:r w:rsidRPr="00D12690">
              <w:t>ent tools throughout the process to achieve outcomes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2.4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Compare data with standards, charts and tables in order to meet compliance with required specification or test-specific requirements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2.5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Check initial analyses against test plan procedures when non-standard results are obtained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2.6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Recognise and manage contingencies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 w:rsidP="00D12690">
            <w:pPr>
              <w:pStyle w:val="BodyText"/>
            </w:pPr>
            <w:r w:rsidRPr="00D12690">
              <w:rPr>
                <w:rStyle w:val="SpecialBold"/>
              </w:rPr>
              <w:t>3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 w:rsidP="00D12690">
            <w:pPr>
              <w:pStyle w:val="BodyText"/>
            </w:pPr>
            <w:r w:rsidRPr="00D12690">
              <w:rPr>
                <w:rStyle w:val="SpecialBold"/>
              </w:rPr>
              <w:t>Finalise test and evaluation processes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3.1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Evaluate testing process, equipment performance and achievement against objectives and report initial results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3.2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Maintain security and confidentiality of data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3.3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Debrief stakeholders and test participants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3.4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Forward test data for analysis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3.</w:t>
            </w:r>
            <w:r w:rsidRPr="00D12690">
              <w:rPr>
                <w:rStyle w:val="SpecialBold"/>
              </w:rPr>
              <w:t>5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Review and amend management plans and any related contracts as appropriate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3.6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Conduct review of objectives and achievement and prepare outcomes for test report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 w:rsidP="00D12690">
            <w:pPr>
              <w:pStyle w:val="BodyText"/>
            </w:pPr>
            <w:r w:rsidRPr="00D12690">
              <w:rPr>
                <w:rStyle w:val="SpecialBold"/>
              </w:rPr>
              <w:t>4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 w:rsidP="00D12690">
            <w:pPr>
              <w:pStyle w:val="BodyText"/>
            </w:pPr>
            <w:r w:rsidRPr="00D12690">
              <w:rPr>
                <w:rStyle w:val="SpecialBold"/>
              </w:rPr>
              <w:t xml:space="preserve">Analyse test and </w:t>
            </w:r>
            <w:r w:rsidRPr="00D12690">
              <w:rPr>
                <w:rStyle w:val="SpecialBold"/>
              </w:rPr>
              <w:t>evaluation evidence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4.1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 xml:space="preserve">Identify, access and collate testing evidence </w:t>
            </w:r>
            <w:r w:rsidRPr="00D12690">
              <w:t xml:space="preserve">in accordance </w:t>
            </w:r>
            <w:r w:rsidRPr="00D12690">
              <w:t>with test plan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4.2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Determine evaluation criteria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4.3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Verify data relevance and accuracy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4.4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Identify data outliers and rectify data errors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4.5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Assess evidence against estimations and expectations in accordance with evaluation criteria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4.6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Identify trends in evidence and detail the significance of the trend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4.7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Conduct data comparisons to determine the validity of outcomes in accordance with</w:t>
            </w:r>
            <w:r w:rsidRPr="00D12690">
              <w:t xml:space="preserve"> evaluation criteria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4.8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t>Utilise management tools</w:t>
            </w:r>
          </w:p>
        </w:tc>
      </w:tr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0">
            <w:pPr>
              <w:pStyle w:val="BodyText"/>
              <w:rPr>
                <w:lang w:val="en-NZ"/>
              </w:rPr>
            </w:pPr>
            <w:r w:rsidRPr="00D12690">
              <w:rPr>
                <w:rStyle w:val="SpecialBold"/>
              </w:rPr>
              <w:t>4.9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 w:rsidP="00D12690">
            <w:pPr>
              <w:pStyle w:val="BodyText"/>
            </w:pPr>
            <w:r w:rsidRPr="00D12690">
              <w:t>Determine test outcomes in conjunction with stakeholders</w:t>
            </w:r>
          </w:p>
        </w:tc>
      </w:tr>
    </w:tbl>
    <w:p w:rsidR="00000000" w:rsidRPr="00D12690" w:rsidP="00D12690">
      <w:pPr>
        <w:pStyle w:val="NoPaddingFontSize1"/>
      </w:pPr>
    </w:p>
    <w:p w:rsidR="00000000" w:rsidRPr="00D12690" w:rsidP="00D12690">
      <w:pPr>
        <w:pStyle w:val="AllowPageBreak"/>
      </w:pPr>
    </w:p>
    <w:p w:rsidR="00000000" w:rsidRPr="00D12690" w:rsidP="00D12690">
      <w:pPr>
        <w:pStyle w:val="Heading1"/>
      </w:pPr>
      <w:bookmarkStart w:id="7" w:name="O_1239758"/>
      <w:bookmarkEnd w:id="7"/>
      <w:r w:rsidRPr="00D1269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 w:rsidP="00D12690">
            <w:pPr>
              <w:pStyle w:val="BodyText"/>
            </w:pPr>
            <w:r w:rsidRPr="00D12690">
              <w:t>Foundation skills essential to performance are explicit in the performance criteria of this unit of competency.</w:t>
            </w:r>
          </w:p>
        </w:tc>
      </w:tr>
    </w:tbl>
    <w:p w:rsidR="00000000" w:rsidRPr="00D12690" w:rsidP="00D12690">
      <w:pPr>
        <w:pStyle w:val="NoPaddingFontSize1"/>
      </w:pPr>
    </w:p>
    <w:p w:rsidR="00000000" w:rsidRPr="00D12690" w:rsidP="00D12690">
      <w:pPr>
        <w:pStyle w:val="AllowPageBreak"/>
      </w:pPr>
    </w:p>
    <w:p w:rsidR="00000000" w:rsidRPr="00D12690" w:rsidP="00D12690">
      <w:pPr>
        <w:pStyle w:val="Heading1"/>
      </w:pPr>
      <w:bookmarkStart w:id="8" w:name="O_1239759"/>
      <w:bookmarkEnd w:id="8"/>
      <w:r w:rsidRPr="00D1269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 w:rsidP="00D12690">
            <w:pPr>
              <w:pStyle w:val="BodyText"/>
            </w:pPr>
            <w:r w:rsidRPr="00D12690">
              <w:t>Range is restricted to essential operating conditions and any other variables essential to the work env</w:t>
            </w:r>
            <w:r w:rsidRPr="00D12690">
              <w:t>ironment.</w:t>
            </w:r>
          </w:p>
          <w:p w:rsidR="00000000" w:rsidRPr="00D12690" w:rsidP="00D12690">
            <w:pPr>
              <w:pStyle w:val="BodyText"/>
            </w:pPr>
            <w:r w:rsidRPr="00D12690">
              <w:t>Non-essential conditions may be found in the DEF Defence Training Package Companion Volume Implementation Guide.</w:t>
            </w:r>
          </w:p>
        </w:tc>
      </w:tr>
    </w:tbl>
    <w:p w:rsidR="00000000" w:rsidRPr="00D12690" w:rsidP="00D12690">
      <w:pPr>
        <w:pStyle w:val="NoPaddingFontSize1"/>
      </w:pPr>
    </w:p>
    <w:p w:rsidR="00000000" w:rsidRPr="00D12690" w:rsidP="00D12690">
      <w:pPr>
        <w:pStyle w:val="AllowPageBreak"/>
      </w:pPr>
    </w:p>
    <w:p w:rsidR="00000000" w:rsidRPr="00D12690" w:rsidP="00D12690">
      <w:pPr>
        <w:pStyle w:val="Heading1"/>
      </w:pPr>
      <w:bookmarkStart w:id="9" w:name="O_1239760"/>
      <w:bookmarkEnd w:id="9"/>
      <w:r w:rsidRPr="00D1269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6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0" w:rsidP="00D12690">
            <w:pPr>
              <w:pStyle w:val="BodyText"/>
            </w:pPr>
            <w:r w:rsidRPr="00D12690">
              <w:t>This unit supersedes and is not equivalent to DEFTST003 Conduct testing processes.</w:t>
            </w:r>
          </w:p>
        </w:tc>
      </w:tr>
    </w:tbl>
    <w:p w:rsidR="00000000" w:rsidRPr="00D12690" w:rsidP="00D12690">
      <w:pPr>
        <w:pStyle w:val="NoPaddingFontSize1"/>
      </w:pPr>
    </w:p>
    <w:p w:rsidR="00000000" w:rsidRPr="00D12690" w:rsidP="00D12690">
      <w:pPr>
        <w:pStyle w:val="AllowPageBreak"/>
      </w:pPr>
    </w:p>
    <w:p w:rsidR="00000000" w:rsidRPr="00D12690" w:rsidP="00D12690">
      <w:pPr>
        <w:pStyle w:val="Heading1"/>
      </w:pPr>
      <w:bookmarkStart w:id="10" w:name="O_1239767"/>
      <w:bookmarkEnd w:id="10"/>
      <w:r w:rsidRPr="00D12690">
        <w:t>Links</w:t>
      </w:r>
    </w:p>
    <w:p w:rsidR="00000000" w:rsidRPr="00D12690" w:rsidP="00D227F8">
      <w:pPr>
        <w:pStyle w:val="BodyText"/>
      </w:pPr>
      <w:r w:rsidRPr="00D12690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7460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12690" w:rsidP="00D12690"/>
    <w:sectPr w:rsidSect="00D126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6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690" w:rsidRPr="00D227F8" w:rsidP="00D227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6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7F8" w:rsidP="00D126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27F8" w:rsidP="00D126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227F8" w:rsidP="00D126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6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7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2690" w:rsidRPr="00D227F8" w:rsidP="00D227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6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7F8" w:rsidRPr="002D2AF8" w:rsidP="00D126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DEFTST010 Conduct test and evaluation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227F8" w:rsidP="00D126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6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6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6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6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6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6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6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6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6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6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6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690"/>
  </w:style>
  <w:style w:type="character" w:customStyle="1" w:styleId="Heading1Char">
    <w:name w:val="Heading 1 Char"/>
    <w:basedOn w:val="DefaultParagraphFont"/>
    <w:link w:val="Heading1"/>
    <w:rsid w:val="00D126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6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69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12690"/>
    <w:rPr>
      <w:b/>
      <w:spacing w:val="0"/>
    </w:rPr>
  </w:style>
  <w:style w:type="paragraph" w:customStyle="1" w:styleId="SuperHeading">
    <w:name w:val="SuperHeading"/>
    <w:basedOn w:val="Normal"/>
    <w:rsid w:val="00D126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26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26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6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6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6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6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6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6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6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6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6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6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6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6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6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26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269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26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26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6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6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269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26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6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6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6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6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6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6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6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6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2690"/>
    <w:rPr>
      <w:i/>
    </w:rPr>
  </w:style>
  <w:style w:type="paragraph" w:styleId="Caption">
    <w:name w:val="caption"/>
    <w:basedOn w:val="BodyText"/>
    <w:next w:val="Normal"/>
    <w:qFormat/>
    <w:rsid w:val="00D126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6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6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690"/>
  </w:style>
  <w:style w:type="paragraph" w:styleId="TableofFigures">
    <w:name w:val="table of figures"/>
    <w:basedOn w:val="Normal"/>
    <w:next w:val="Normal"/>
    <w:semiHidden/>
    <w:rsid w:val="00D126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69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2690"/>
    <w:rPr>
      <w:rFonts w:ascii="Wingdings" w:hAnsi="Wingdings"/>
    </w:rPr>
  </w:style>
  <w:style w:type="paragraph" w:customStyle="1" w:styleId="TableHeading">
    <w:name w:val="Table Heading"/>
    <w:basedOn w:val="HeadingBase"/>
    <w:rsid w:val="00D126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2690"/>
    <w:rPr>
      <w:color w:val="0033CC"/>
      <w:u w:val="none"/>
    </w:rPr>
  </w:style>
  <w:style w:type="paragraph" w:customStyle="1" w:styleId="BodyTextRight">
    <w:name w:val="Body Text Right"/>
    <w:basedOn w:val="BodyText"/>
    <w:rsid w:val="00D126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6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6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6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6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6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690"/>
    <w:rPr>
      <w:sz w:val="32"/>
    </w:rPr>
  </w:style>
  <w:style w:type="paragraph" w:customStyle="1" w:styleId="HeadingProcedure">
    <w:name w:val="Heading Procedure"/>
    <w:basedOn w:val="HeadingBase"/>
    <w:next w:val="Normal"/>
    <w:rsid w:val="00D126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690"/>
    <w:pPr>
      <w:spacing w:before="60" w:after="60"/>
    </w:pPr>
  </w:style>
  <w:style w:type="paragraph" w:styleId="ListContinue">
    <w:name w:val="List Continue"/>
    <w:basedOn w:val="List"/>
    <w:rsid w:val="00D12690"/>
    <w:pPr>
      <w:ind w:firstLine="0"/>
    </w:pPr>
  </w:style>
  <w:style w:type="paragraph" w:customStyle="1" w:styleId="ListNote">
    <w:name w:val="List Note"/>
    <w:basedOn w:val="List"/>
    <w:rsid w:val="00D126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6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6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690"/>
    <w:rPr>
      <w:rFonts w:ascii="Courier New" w:hAnsi="Courier New"/>
    </w:rPr>
  </w:style>
  <w:style w:type="paragraph" w:customStyle="1" w:styleId="NoteBullet">
    <w:name w:val="Note Bullet"/>
    <w:basedOn w:val="Note"/>
    <w:rsid w:val="00D126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6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6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6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69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26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6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690"/>
    <w:rPr>
      <w:b/>
      <w:smallCaps/>
    </w:rPr>
  </w:style>
  <w:style w:type="paragraph" w:customStyle="1" w:styleId="TableListNumber">
    <w:name w:val="Table List Number"/>
    <w:basedOn w:val="ListNumber"/>
    <w:rsid w:val="00D126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6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690"/>
    <w:pPr>
      <w:numPr>
        <w:numId w:val="7"/>
      </w:numPr>
    </w:pPr>
  </w:style>
  <w:style w:type="paragraph" w:customStyle="1" w:styleId="ListAlpha2">
    <w:name w:val="List Alpha 2"/>
    <w:basedOn w:val="List2"/>
    <w:rsid w:val="00D12690"/>
    <w:pPr>
      <w:numPr>
        <w:numId w:val="6"/>
      </w:numPr>
    </w:pPr>
  </w:style>
  <w:style w:type="paragraph" w:styleId="List2">
    <w:name w:val="List 2"/>
    <w:basedOn w:val="BodyText"/>
    <w:rsid w:val="00D126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6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6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6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269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26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2690"/>
    <w:pPr>
      <w:numPr>
        <w:numId w:val="2"/>
      </w:numPr>
    </w:pPr>
  </w:style>
  <w:style w:type="paragraph" w:styleId="ListContinue2">
    <w:name w:val="List Continue 2"/>
    <w:basedOn w:val="List2"/>
    <w:rsid w:val="00D12690"/>
    <w:pPr>
      <w:ind w:firstLine="0"/>
    </w:pPr>
  </w:style>
  <w:style w:type="paragraph" w:styleId="ListContinue3">
    <w:name w:val="List Continue 3"/>
    <w:basedOn w:val="List3"/>
    <w:rsid w:val="00D12690"/>
    <w:pPr>
      <w:ind w:left="1021" w:firstLine="0"/>
    </w:pPr>
  </w:style>
  <w:style w:type="paragraph" w:styleId="ListContinue4">
    <w:name w:val="List Continue 4"/>
    <w:basedOn w:val="List4"/>
    <w:rsid w:val="00D12690"/>
    <w:pPr>
      <w:ind w:firstLine="0"/>
    </w:pPr>
  </w:style>
  <w:style w:type="paragraph" w:styleId="ListContinue5">
    <w:name w:val="List Continue 5"/>
    <w:basedOn w:val="List5"/>
    <w:rsid w:val="00D12690"/>
    <w:pPr>
      <w:ind w:firstLine="0"/>
    </w:pPr>
  </w:style>
  <w:style w:type="paragraph" w:styleId="ListNumber3">
    <w:name w:val="List Number 3"/>
    <w:basedOn w:val="List3"/>
    <w:rsid w:val="00D12690"/>
    <w:pPr>
      <w:numPr>
        <w:numId w:val="3"/>
      </w:numPr>
    </w:pPr>
  </w:style>
  <w:style w:type="paragraph" w:styleId="ListNumber4">
    <w:name w:val="List Number 4"/>
    <w:basedOn w:val="List4"/>
    <w:rsid w:val="00D12690"/>
    <w:pPr>
      <w:numPr>
        <w:numId w:val="4"/>
      </w:numPr>
    </w:pPr>
  </w:style>
  <w:style w:type="paragraph" w:styleId="ListNumber5">
    <w:name w:val="List Number 5"/>
    <w:basedOn w:val="List5"/>
    <w:rsid w:val="00D12690"/>
    <w:pPr>
      <w:numPr>
        <w:numId w:val="5"/>
      </w:numPr>
    </w:pPr>
  </w:style>
  <w:style w:type="paragraph" w:styleId="BlockText">
    <w:name w:val="Block Text"/>
    <w:basedOn w:val="Normal"/>
    <w:rsid w:val="00D126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6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690"/>
    <w:rPr>
      <w:sz w:val="16"/>
      <w:vertAlign w:val="superscript"/>
    </w:rPr>
  </w:style>
  <w:style w:type="character" w:customStyle="1" w:styleId="Symbols">
    <w:name w:val="Symbols"/>
    <w:basedOn w:val="DefaultParagraphFont"/>
    <w:rsid w:val="00D12690"/>
    <w:rPr>
      <w:rFonts w:ascii="Symbol" w:hAnsi="Symbol"/>
    </w:rPr>
  </w:style>
  <w:style w:type="character" w:customStyle="1" w:styleId="MenuOptions">
    <w:name w:val="Menu Options"/>
    <w:basedOn w:val="DefaultParagraphFont"/>
    <w:rsid w:val="00D126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690"/>
    <w:rPr>
      <w:b/>
    </w:rPr>
  </w:style>
  <w:style w:type="character" w:customStyle="1" w:styleId="Underlined">
    <w:name w:val="Underlined"/>
    <w:basedOn w:val="DefaultParagraphFont"/>
    <w:rsid w:val="00D12690"/>
    <w:rPr>
      <w:u w:val="single"/>
    </w:rPr>
  </w:style>
  <w:style w:type="paragraph" w:customStyle="1" w:styleId="TableBodyTextRight">
    <w:name w:val="Table Body Text Right"/>
    <w:basedOn w:val="TableBodyText"/>
    <w:rsid w:val="00D126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690"/>
    <w:rPr>
      <w:sz w:val="18"/>
    </w:rPr>
  </w:style>
  <w:style w:type="paragraph" w:customStyle="1" w:styleId="BodySmallRight">
    <w:name w:val="Body Small Right"/>
    <w:basedOn w:val="BodyTextRight"/>
    <w:rsid w:val="00D12690"/>
    <w:rPr>
      <w:sz w:val="18"/>
      <w:szCs w:val="18"/>
    </w:rPr>
  </w:style>
  <w:style w:type="paragraph" w:customStyle="1" w:styleId="MarginEdition">
    <w:name w:val="Margin Edition"/>
    <w:basedOn w:val="MarginNote"/>
    <w:rsid w:val="00D126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690"/>
    <w:rPr>
      <w:sz w:val="2"/>
      <w:szCs w:val="2"/>
    </w:rPr>
  </w:style>
  <w:style w:type="character" w:customStyle="1" w:styleId="Small">
    <w:name w:val="Small"/>
    <w:basedOn w:val="DefaultParagraphFont"/>
    <w:rsid w:val="00D12690"/>
    <w:rPr>
      <w:sz w:val="16"/>
    </w:rPr>
  </w:style>
  <w:style w:type="paragraph" w:customStyle="1" w:styleId="WideTable">
    <w:name w:val="Wide Table"/>
    <w:basedOn w:val="Normal"/>
    <w:rsid w:val="00D126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690"/>
  </w:style>
  <w:style w:type="paragraph" w:styleId="Quote">
    <w:name w:val="Quote"/>
    <w:basedOn w:val="Heading1"/>
    <w:link w:val="QuoteChar"/>
    <w:qFormat/>
    <w:rsid w:val="00D126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6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690"/>
    <w:pPr>
      <w:pageBreakBefore/>
    </w:pPr>
  </w:style>
  <w:style w:type="paragraph" w:customStyle="1" w:styleId="Border">
    <w:name w:val="Border"/>
    <w:basedOn w:val="Normal"/>
    <w:qFormat/>
    <w:rsid w:val="00D126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6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6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6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6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6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6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6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6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690"/>
    <w:rPr>
      <w:u w:val="single"/>
    </w:rPr>
  </w:style>
  <w:style w:type="character" w:customStyle="1" w:styleId="BoldandItalics">
    <w:name w:val="Bold and Italics"/>
    <w:qFormat/>
    <w:rsid w:val="00D12690"/>
    <w:rPr>
      <w:b/>
      <w:i/>
      <w:u w:val="none"/>
    </w:rPr>
  </w:style>
  <w:style w:type="paragraph" w:styleId="BalloonText">
    <w:name w:val="Balloon Text"/>
    <w:basedOn w:val="Normal"/>
    <w:link w:val="BalloonTextChar"/>
    <w:rsid w:val="00D12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6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6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6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6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6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2690"/>
    <w:pPr>
      <w:spacing w:before="0" w:after="0"/>
    </w:pPr>
  </w:style>
  <w:style w:type="paragraph" w:customStyle="1" w:styleId="BodyTextBold">
    <w:name w:val="Body Text Bold"/>
    <w:basedOn w:val="BodyText"/>
    <w:qFormat/>
    <w:rsid w:val="00D12690"/>
    <w:rPr>
      <w:b/>
    </w:rPr>
  </w:style>
  <w:style w:type="character" w:styleId="Hyperlink">
    <w:name w:val="Hyperlink"/>
    <w:basedOn w:val="DefaultParagraphFont"/>
    <w:uiPriority w:val="99"/>
    <w:unhideWhenUsed/>
    <w:rsid w:val="00D227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3884</Characters>
  <Application>Microsoft Office Word</Application>
  <DocSecurity>0</DocSecurity>
  <Lines>215</Lines>
  <Paragraphs>115</Paragraphs>
  <ScaleCrop>false</ScaleCrop>
  <Company>Author-it Software Corporation Ltd.</Company>
  <LinksUpToDate>false</LinksUpToDate>
  <CharactersWithSpaces>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DEFTST010 Conduct test and evaluation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2024-11-07T12:05:00Z</dcterms:created>
  <dcterms:modified xsi:type="dcterms:W3CDTF">2024-11-07T12:05:00Z</dcterms:modified>
</cp:coreProperties>
</file>