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434" w:rsidP="00924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DEFTST006 Analyse test data</w:t>
      </w:r>
      <w:r>
        <w:fldChar w:fldCharType="end"/>
      </w:r>
    </w:p>
    <w:p w:rsidR="00924434" w:rsidP="00924434">
      <w:pPr>
        <w:pStyle w:val="Version"/>
        <w:sectPr w:rsidSect="00A303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03CC" w:rsidP="00A303CC">
      <w:pPr>
        <w:pStyle w:val="SuperHeading"/>
      </w:pPr>
      <w:r w:rsidRPr="00A303CC">
        <w:t>DEFTST006 Analyse test data</w:t>
      </w:r>
    </w:p>
    <w:p w:rsidR="00000000" w:rsidRPr="00A303CC" w:rsidP="00A303CC">
      <w:pPr>
        <w:pStyle w:val="Heading1"/>
      </w:pPr>
      <w:bookmarkStart w:id="1" w:name="O_1239205"/>
      <w:bookmarkEnd w:id="1"/>
      <w:r w:rsidRPr="00A303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Release 2. This is the second release of this unit of competency in the DEF Defence Training Package.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t xml:space="preserve">Release 1. This unit was released in DEF Defence Training Package Release 1.0 and meets the Standards for Training Packages. </w:t>
            </w:r>
          </w:p>
        </w:tc>
      </w:tr>
    </w:tbl>
    <w:p w:rsidR="00000000" w:rsidRPr="00A303CC" w:rsidP="00A303CC">
      <w:pPr>
        <w:pStyle w:val="NoPaddingFontSize1"/>
      </w:pPr>
    </w:p>
    <w:p w:rsidR="00000000" w:rsidRPr="00A303CC" w:rsidP="00A303CC">
      <w:pPr>
        <w:pStyle w:val="AllowPageBreak"/>
      </w:pPr>
    </w:p>
    <w:p w:rsidR="00000000" w:rsidRPr="00A303CC" w:rsidP="00A303CC">
      <w:pPr>
        <w:pStyle w:val="Heading1"/>
      </w:pPr>
      <w:bookmarkStart w:id="2" w:name="O_1239204"/>
      <w:bookmarkEnd w:id="2"/>
      <w:r w:rsidRPr="00A303C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t>This unit describes the skills and knowledge required to analyse test data.</w:t>
            </w:r>
          </w:p>
          <w:p w:rsidR="00000000" w:rsidRPr="00A303CC" w:rsidP="00A303CC">
            <w:pPr>
              <w:pStyle w:val="BodyText"/>
            </w:pPr>
            <w:r w:rsidRPr="00A303CC">
              <w:t>It includes performing scientific calculations, analysing trends and relationships in data and determining variation and/or uncertainty in data distribut</w:t>
            </w:r>
            <w:r w:rsidRPr="00A303CC">
              <w:t>ions. It also includes checking for aberrant results and maintaining results.</w:t>
            </w:r>
          </w:p>
          <w:p w:rsidR="00000000" w:rsidRPr="00A303CC" w:rsidP="00A303CC">
            <w:pPr>
              <w:pStyle w:val="BodyText"/>
            </w:pPr>
            <w:r w:rsidRPr="00A303CC">
              <w:t>This unit was developed for Defence test and evaluation workers but is applicable to any individuals who work in this field.</w:t>
            </w:r>
          </w:p>
          <w:p w:rsidR="00000000" w:rsidRPr="00A303CC" w:rsidP="00A303CC">
            <w:pPr>
              <w:pStyle w:val="BodyText"/>
            </w:pPr>
            <w:r w:rsidRPr="00A303CC">
              <w:t xml:space="preserve">The skills and knowledge described in this unit must </w:t>
            </w:r>
            <w:r w:rsidRPr="00A303CC">
              <w:t>be applied within the legislative, regulatory and policy environment in which they are carried out. Organisational policies and procedures must be consulted and adhered to.</w:t>
            </w:r>
          </w:p>
          <w:p w:rsidR="00000000" w:rsidRPr="00A303CC" w:rsidP="00A303CC">
            <w:pPr>
              <w:pStyle w:val="BodyText"/>
            </w:pPr>
            <w:r w:rsidRPr="00A303CC">
              <w:t>Those undertaking this unit would work independently or as part of a team, under di</w:t>
            </w:r>
            <w:r w:rsidRPr="00A303CC">
              <w:t>rect and indirect supervision, use discretion and judgement, and take responsibility for the quality of their output. They would perform complex tasks in a range of contexts.</w:t>
            </w:r>
          </w:p>
          <w:p w:rsidR="00000000" w:rsidRPr="00A303CC" w:rsidP="00A303CC">
            <w:pPr>
              <w:pStyle w:val="BodyText"/>
            </w:pPr>
            <w:r w:rsidRPr="00A303CC">
              <w:t>No licensing, legislative or certification requirements apply to unit at the time</w:t>
            </w:r>
            <w:r w:rsidRPr="00A303CC">
              <w:t xml:space="preserve"> of publication.</w:t>
            </w:r>
          </w:p>
        </w:tc>
      </w:tr>
    </w:tbl>
    <w:p w:rsidR="00000000" w:rsidRPr="00A303CC" w:rsidP="00A303CC">
      <w:pPr>
        <w:pStyle w:val="NoPaddingFontSize1"/>
      </w:pPr>
    </w:p>
    <w:p w:rsidR="00000000" w:rsidRPr="00A303CC" w:rsidP="00A303CC">
      <w:pPr>
        <w:pStyle w:val="AllowPageBreak"/>
      </w:pPr>
    </w:p>
    <w:p w:rsidR="00000000" w:rsidRPr="00A303CC" w:rsidP="00A303CC">
      <w:pPr>
        <w:pStyle w:val="Heading1"/>
      </w:pPr>
      <w:bookmarkStart w:id="3" w:name="O_1241445"/>
      <w:bookmarkEnd w:id="3"/>
      <w:r w:rsidRPr="00A303C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t>Not applicable.</w:t>
            </w:r>
          </w:p>
        </w:tc>
      </w:tr>
    </w:tbl>
    <w:p w:rsidR="00000000" w:rsidRPr="00A303CC" w:rsidP="00A303CC">
      <w:pPr>
        <w:pStyle w:val="NoPaddingFontSize1"/>
      </w:pPr>
    </w:p>
    <w:p w:rsidR="00000000" w:rsidRPr="00A303CC" w:rsidP="00A303CC">
      <w:pPr>
        <w:pStyle w:val="AllowPageBreak"/>
      </w:pPr>
    </w:p>
    <w:p w:rsidR="00000000" w:rsidRPr="00A303CC" w:rsidP="00A303CC">
      <w:pPr>
        <w:pStyle w:val="Heading1"/>
      </w:pPr>
      <w:bookmarkStart w:id="4" w:name="O_1239203"/>
      <w:bookmarkEnd w:id="4"/>
      <w:r w:rsidRPr="00A303C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t>Test and Evaluation.</w:t>
            </w:r>
          </w:p>
        </w:tc>
      </w:tr>
    </w:tbl>
    <w:p w:rsidR="00000000" w:rsidRPr="00A303CC" w:rsidP="00A303CC">
      <w:pPr>
        <w:pStyle w:val="NoPaddingFontSize1"/>
      </w:pPr>
    </w:p>
    <w:p w:rsidR="00000000" w:rsidRPr="00A303CC" w:rsidP="00A303CC">
      <w:pPr>
        <w:pStyle w:val="AllowPageBreak"/>
      </w:pPr>
    </w:p>
    <w:p w:rsidR="00000000" w:rsidRPr="00A303CC" w:rsidP="00A303CC">
      <w:pPr>
        <w:pStyle w:val="Heading1"/>
      </w:pPr>
      <w:bookmarkStart w:id="5" w:name="O_1241446"/>
      <w:bookmarkEnd w:id="5"/>
      <w:r w:rsidRPr="00A303C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t>Not applicable.</w:t>
            </w:r>
          </w:p>
        </w:tc>
      </w:tr>
    </w:tbl>
    <w:p w:rsidR="00000000" w:rsidRPr="00A303CC" w:rsidP="00A303CC">
      <w:pPr>
        <w:pStyle w:val="NoPaddingFontSize1"/>
      </w:pPr>
    </w:p>
    <w:p w:rsidR="00000000" w:rsidRPr="00A303CC" w:rsidP="00A303CC">
      <w:pPr>
        <w:pStyle w:val="AllowPageBreak"/>
      </w:pPr>
    </w:p>
    <w:p w:rsidR="00000000" w:rsidRPr="00A303CC" w:rsidP="00A303CC">
      <w:pPr>
        <w:pStyle w:val="Heading1"/>
      </w:pPr>
      <w:bookmarkStart w:id="6" w:name="O_1239202"/>
      <w:bookmarkEnd w:id="6"/>
      <w:r w:rsidRPr="00A303C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672"/>
        <w:gridCol w:w="714"/>
        <w:gridCol w:w="5705"/>
      </w:tblGrid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rPr>
                <w:rStyle w:val="SpecialBold"/>
              </w:rPr>
              <w:t>ELEMENTS</w:t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PERFORMANCE CRITERIA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Elements describe the essential outcomes.</w:t>
            </w:r>
          </w:p>
        </w:tc>
        <w:tc>
          <w:tcPr>
            <w:tcW w:w="64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Performance criteria describe the performance needed to demonstrate achievement of the element.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rPr>
                <w:rStyle w:val="SpecialBold"/>
              </w:rPr>
              <w:t>1</w:t>
            </w:r>
          </w:p>
        </w:tc>
        <w:tc>
          <w:tcPr>
            <w:tcW w:w="26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rPr>
                <w:rStyle w:val="SpecialBold"/>
              </w:rPr>
              <w:t>Perform scientific calculations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1.1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Ensure consistency of raw data with expectations and reasonable ranges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1.2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Calculate scientific quantities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1.3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Determine calculated quantities and estimations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1.4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Present results using the appropriate units, uncertainties and number of significant figures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rPr>
                <w:rStyle w:val="SpecialBold"/>
              </w:rPr>
              <w:t>2</w:t>
            </w:r>
          </w:p>
        </w:tc>
        <w:tc>
          <w:tcPr>
            <w:tcW w:w="26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rPr>
                <w:rStyle w:val="SpecialBold"/>
              </w:rPr>
              <w:t>Analyse trends and relationships in data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2.1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Determine relationships between sets of data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2.2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Prepare and analyse data to determine if a process is in control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2.3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Identify possible causes for out of control condition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rPr>
                <w:rStyle w:val="SpecialBold"/>
              </w:rPr>
              <w:t>3</w:t>
            </w:r>
          </w:p>
        </w:tc>
        <w:tc>
          <w:tcPr>
            <w:tcW w:w="26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rPr>
                <w:rStyle w:val="SpecialBold"/>
              </w:rPr>
              <w:t>Determine variation and/or uncertainty in data distributions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3.1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Organise raw data into appropriate frequency distributions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3.2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Calculate statistical properties for ungrouped and grouped data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3.3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Interpret statistical properties to determine characteristics of sample or population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3.4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Calculate standard deviations and confidence limits for means and replicates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3.5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Determine uncertainty in measurements using statistical analysis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3.6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Determine data acceptability using statistical tests and organisational procedures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rPr>
                <w:rStyle w:val="SpecialBold"/>
              </w:rPr>
              <w:t>4</w:t>
            </w:r>
          </w:p>
        </w:tc>
        <w:tc>
          <w:tcPr>
            <w:tcW w:w="26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rPr>
                <w:rStyle w:val="SpecialBold"/>
              </w:rPr>
              <w:t>Check for aberrant results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4.1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Identify results that cannot be reconciled with documentation, test</w:t>
            </w:r>
            <w:r w:rsidRPr="00A303CC">
              <w:t>ing procedures and/or expected outcomes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4.2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Determine appropriate actions in consultation with relevant personnel, as required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rPr>
                <w:rStyle w:val="SpecialBold"/>
              </w:rPr>
              <w:t>5</w:t>
            </w:r>
          </w:p>
        </w:tc>
        <w:tc>
          <w:tcPr>
            <w:tcW w:w="26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rPr>
                <w:rStyle w:val="SpecialBold"/>
              </w:rPr>
              <w:t>Maintain results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5.1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 xml:space="preserve">Store, retrieve and manipulate data following document </w:t>
            </w:r>
            <w:r w:rsidRPr="00A303CC">
              <w:t>traceability procedures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5.2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Present results in an appropriate format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5.3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Verify entry of data and results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5.4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t>Maintain security and confidentiality of data in accordance with organisational policies and procedures</w:t>
            </w:r>
          </w:p>
        </w:tc>
      </w:tr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>
            <w:pPr>
              <w:pStyle w:val="BodyText"/>
              <w:keepLines w:val="0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3CC">
            <w:pPr>
              <w:pStyle w:val="BodyText"/>
              <w:rPr>
                <w:lang w:val="en-NZ"/>
              </w:rPr>
            </w:pPr>
            <w:r w:rsidRPr="00A303CC">
              <w:rPr>
                <w:rStyle w:val="SpecialBold"/>
              </w:rPr>
              <w:t>5.5</w:t>
            </w:r>
          </w:p>
        </w:tc>
        <w:tc>
          <w:tcPr>
            <w:tcW w:w="57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t>Prepare reports in a format and style consistent with their intended use and organisational guidelines</w:t>
            </w:r>
          </w:p>
        </w:tc>
      </w:tr>
    </w:tbl>
    <w:p w:rsidR="00000000" w:rsidRPr="00A303CC" w:rsidP="00A303CC">
      <w:pPr>
        <w:pStyle w:val="NoPaddingFontSize1"/>
      </w:pPr>
    </w:p>
    <w:p w:rsidR="00000000" w:rsidRPr="00A303CC" w:rsidP="00A303CC">
      <w:pPr>
        <w:pStyle w:val="AllowPageBreak"/>
      </w:pPr>
    </w:p>
    <w:p w:rsidR="00000000" w:rsidRPr="00A303CC" w:rsidP="00A303CC">
      <w:pPr>
        <w:pStyle w:val="Heading1"/>
      </w:pPr>
      <w:bookmarkStart w:id="7" w:name="O_1239201"/>
      <w:bookmarkEnd w:id="7"/>
      <w:r w:rsidRPr="00A303C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t>Foundation skills essential to performance are explicit in the performance criteria of this unit of competency.</w:t>
            </w:r>
          </w:p>
        </w:tc>
      </w:tr>
    </w:tbl>
    <w:p w:rsidR="00000000" w:rsidRPr="00A303CC" w:rsidP="00A303CC">
      <w:pPr>
        <w:pStyle w:val="NoPaddingFontSize1"/>
      </w:pPr>
    </w:p>
    <w:p w:rsidR="00000000" w:rsidRPr="00A303CC" w:rsidP="00A303CC">
      <w:pPr>
        <w:pStyle w:val="AllowPageBreak"/>
      </w:pPr>
    </w:p>
    <w:p w:rsidR="00000000" w:rsidRPr="00A303CC" w:rsidP="00A303CC">
      <w:pPr>
        <w:pStyle w:val="Heading1"/>
      </w:pPr>
      <w:bookmarkStart w:id="8" w:name="O_1241447"/>
      <w:bookmarkEnd w:id="8"/>
      <w:r w:rsidRPr="00A303C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t>Range is restricted to essential operating conditions and any other variables essential to the work environment.</w:t>
            </w:r>
          </w:p>
          <w:p w:rsidR="00000000" w:rsidRPr="00A303CC" w:rsidP="00A303CC">
            <w:pPr>
              <w:pStyle w:val="BodyText"/>
            </w:pPr>
            <w:r w:rsidRPr="00A303CC">
              <w:t>Non-essential conditions may be found in the DEF Defence Training Package Companion Volume Implementatio</w:t>
            </w:r>
            <w:r w:rsidRPr="00A303CC">
              <w:t>n Guide.</w:t>
            </w:r>
          </w:p>
        </w:tc>
      </w:tr>
    </w:tbl>
    <w:p w:rsidR="00000000" w:rsidRPr="00A303CC" w:rsidP="00A303CC">
      <w:pPr>
        <w:pStyle w:val="NoPaddingFontSize1"/>
      </w:pPr>
    </w:p>
    <w:p w:rsidR="00000000" w:rsidRPr="00A303CC" w:rsidP="00A303CC">
      <w:pPr>
        <w:pStyle w:val="AllowPageBreak"/>
      </w:pPr>
    </w:p>
    <w:p w:rsidR="00000000" w:rsidRPr="00A303CC" w:rsidP="00A303CC">
      <w:pPr>
        <w:pStyle w:val="Heading1"/>
      </w:pPr>
      <w:bookmarkStart w:id="9" w:name="O_1239200"/>
      <w:bookmarkEnd w:id="9"/>
      <w:r w:rsidRPr="00A303C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3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3CC" w:rsidP="00A303CC">
            <w:pPr>
              <w:pStyle w:val="BodyText"/>
            </w:pPr>
            <w:r w:rsidRPr="00A303CC">
              <w:t>This unit replaces and is equivalent to DEFTE006A Analyse test data.</w:t>
            </w:r>
          </w:p>
        </w:tc>
      </w:tr>
    </w:tbl>
    <w:p w:rsidR="00000000" w:rsidRPr="00A303CC" w:rsidP="00A303CC">
      <w:pPr>
        <w:pStyle w:val="NoPaddingFontSize1"/>
      </w:pPr>
    </w:p>
    <w:p w:rsidR="00000000" w:rsidRPr="00A303CC" w:rsidP="00A303CC">
      <w:pPr>
        <w:pStyle w:val="AllowPageBreak"/>
      </w:pPr>
    </w:p>
    <w:p w:rsidR="00000000" w:rsidRPr="00A303CC" w:rsidP="00A303CC">
      <w:pPr>
        <w:pStyle w:val="Heading1"/>
      </w:pPr>
      <w:bookmarkStart w:id="10" w:name="O_1239206"/>
      <w:bookmarkEnd w:id="10"/>
      <w:r w:rsidRPr="00A303CC">
        <w:t>Links</w:t>
      </w:r>
    </w:p>
    <w:p w:rsidR="00000000" w:rsidRPr="00A303CC" w:rsidP="00924434">
      <w:pPr>
        <w:pStyle w:val="BodyText"/>
      </w:pPr>
      <w:r w:rsidRPr="00A303CC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A51E8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303CC" w:rsidP="00A303CC"/>
    <w:sectPr w:rsidSect="00A303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3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3CC" w:rsidRPr="00924434" w:rsidP="00924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3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434" w:rsidP="00A303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4434" w:rsidP="00A303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24434" w:rsidP="00A303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3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3CC" w:rsidRPr="00924434" w:rsidP="00924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3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434" w:rsidRPr="002D2AF8" w:rsidP="00A303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DEFTST006 Analyse test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24434" w:rsidP="00A303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3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3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3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3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3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3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3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3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3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3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3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3CC"/>
  </w:style>
  <w:style w:type="character" w:customStyle="1" w:styleId="Heading1Char">
    <w:name w:val="Heading 1 Char"/>
    <w:basedOn w:val="DefaultParagraphFont"/>
    <w:link w:val="Heading1"/>
    <w:rsid w:val="00A303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3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3C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303CC"/>
    <w:rPr>
      <w:b/>
      <w:spacing w:val="0"/>
    </w:rPr>
  </w:style>
  <w:style w:type="paragraph" w:customStyle="1" w:styleId="SuperHeading">
    <w:name w:val="SuperHeading"/>
    <w:basedOn w:val="Normal"/>
    <w:rsid w:val="00A303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3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03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3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3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3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3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3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3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3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3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3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3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3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3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3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3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03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03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03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3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3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03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03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3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3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3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3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3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3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3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3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3CC"/>
    <w:rPr>
      <w:i/>
    </w:rPr>
  </w:style>
  <w:style w:type="paragraph" w:styleId="Caption">
    <w:name w:val="caption"/>
    <w:basedOn w:val="BodyText"/>
    <w:next w:val="Normal"/>
    <w:qFormat/>
    <w:rsid w:val="00A303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3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3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3CC"/>
  </w:style>
  <w:style w:type="paragraph" w:styleId="TableofFigures">
    <w:name w:val="table of figures"/>
    <w:basedOn w:val="Normal"/>
    <w:next w:val="Normal"/>
    <w:semiHidden/>
    <w:rsid w:val="00A303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3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03CC"/>
    <w:rPr>
      <w:rFonts w:ascii="Wingdings" w:hAnsi="Wingdings"/>
    </w:rPr>
  </w:style>
  <w:style w:type="paragraph" w:customStyle="1" w:styleId="TableHeading">
    <w:name w:val="Table Heading"/>
    <w:basedOn w:val="HeadingBase"/>
    <w:rsid w:val="00A303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3CC"/>
    <w:rPr>
      <w:color w:val="0033CC"/>
      <w:u w:val="none"/>
    </w:rPr>
  </w:style>
  <w:style w:type="paragraph" w:customStyle="1" w:styleId="BodyTextRight">
    <w:name w:val="Body Text Right"/>
    <w:basedOn w:val="BodyText"/>
    <w:rsid w:val="00A303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3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3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3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3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3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3CC"/>
    <w:rPr>
      <w:sz w:val="32"/>
    </w:rPr>
  </w:style>
  <w:style w:type="paragraph" w:customStyle="1" w:styleId="HeadingProcedure">
    <w:name w:val="Heading Procedure"/>
    <w:basedOn w:val="HeadingBase"/>
    <w:next w:val="Normal"/>
    <w:rsid w:val="00A303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3CC"/>
    <w:pPr>
      <w:spacing w:before="60" w:after="60"/>
    </w:pPr>
  </w:style>
  <w:style w:type="paragraph" w:styleId="ListContinue">
    <w:name w:val="List Continue"/>
    <w:basedOn w:val="List"/>
    <w:rsid w:val="00A303CC"/>
    <w:pPr>
      <w:ind w:firstLine="0"/>
    </w:pPr>
  </w:style>
  <w:style w:type="paragraph" w:customStyle="1" w:styleId="ListNote">
    <w:name w:val="List Note"/>
    <w:basedOn w:val="List"/>
    <w:rsid w:val="00A303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3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3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3CC"/>
    <w:rPr>
      <w:rFonts w:ascii="Courier New" w:hAnsi="Courier New"/>
    </w:rPr>
  </w:style>
  <w:style w:type="paragraph" w:customStyle="1" w:styleId="NoteBullet">
    <w:name w:val="Note Bullet"/>
    <w:basedOn w:val="Note"/>
    <w:rsid w:val="00A303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3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3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3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3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03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3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3CC"/>
    <w:rPr>
      <w:b/>
      <w:smallCaps/>
    </w:rPr>
  </w:style>
  <w:style w:type="paragraph" w:customStyle="1" w:styleId="TableListNumber">
    <w:name w:val="Table List Number"/>
    <w:basedOn w:val="ListNumber"/>
    <w:rsid w:val="00A303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3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3CC"/>
    <w:pPr>
      <w:numPr>
        <w:numId w:val="7"/>
      </w:numPr>
    </w:pPr>
  </w:style>
  <w:style w:type="paragraph" w:customStyle="1" w:styleId="ListAlpha2">
    <w:name w:val="List Alpha 2"/>
    <w:basedOn w:val="List2"/>
    <w:rsid w:val="00A303CC"/>
    <w:pPr>
      <w:numPr>
        <w:numId w:val="6"/>
      </w:numPr>
    </w:pPr>
  </w:style>
  <w:style w:type="paragraph" w:styleId="List2">
    <w:name w:val="List 2"/>
    <w:basedOn w:val="BodyText"/>
    <w:rsid w:val="00A303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3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3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3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3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3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03CC"/>
    <w:pPr>
      <w:numPr>
        <w:numId w:val="2"/>
      </w:numPr>
    </w:pPr>
  </w:style>
  <w:style w:type="paragraph" w:styleId="ListContinue2">
    <w:name w:val="List Continue 2"/>
    <w:basedOn w:val="List2"/>
    <w:rsid w:val="00A303CC"/>
    <w:pPr>
      <w:ind w:firstLine="0"/>
    </w:pPr>
  </w:style>
  <w:style w:type="paragraph" w:styleId="ListContinue3">
    <w:name w:val="List Continue 3"/>
    <w:basedOn w:val="List3"/>
    <w:rsid w:val="00A303CC"/>
    <w:pPr>
      <w:ind w:left="1021" w:firstLine="0"/>
    </w:pPr>
  </w:style>
  <w:style w:type="paragraph" w:styleId="ListContinue4">
    <w:name w:val="List Continue 4"/>
    <w:basedOn w:val="List4"/>
    <w:rsid w:val="00A303CC"/>
    <w:pPr>
      <w:ind w:firstLine="0"/>
    </w:pPr>
  </w:style>
  <w:style w:type="paragraph" w:styleId="ListContinue5">
    <w:name w:val="List Continue 5"/>
    <w:basedOn w:val="List5"/>
    <w:rsid w:val="00A303CC"/>
    <w:pPr>
      <w:ind w:firstLine="0"/>
    </w:pPr>
  </w:style>
  <w:style w:type="paragraph" w:styleId="ListNumber3">
    <w:name w:val="List Number 3"/>
    <w:basedOn w:val="List3"/>
    <w:rsid w:val="00A303CC"/>
    <w:pPr>
      <w:numPr>
        <w:numId w:val="3"/>
      </w:numPr>
    </w:pPr>
  </w:style>
  <w:style w:type="paragraph" w:styleId="ListNumber4">
    <w:name w:val="List Number 4"/>
    <w:basedOn w:val="List4"/>
    <w:rsid w:val="00A303CC"/>
    <w:pPr>
      <w:numPr>
        <w:numId w:val="4"/>
      </w:numPr>
    </w:pPr>
  </w:style>
  <w:style w:type="paragraph" w:styleId="ListNumber5">
    <w:name w:val="List Number 5"/>
    <w:basedOn w:val="List5"/>
    <w:rsid w:val="00A303CC"/>
    <w:pPr>
      <w:numPr>
        <w:numId w:val="5"/>
      </w:numPr>
    </w:pPr>
  </w:style>
  <w:style w:type="paragraph" w:styleId="BlockText">
    <w:name w:val="Block Text"/>
    <w:basedOn w:val="Normal"/>
    <w:rsid w:val="00A303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3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3CC"/>
    <w:rPr>
      <w:sz w:val="16"/>
      <w:vertAlign w:val="superscript"/>
    </w:rPr>
  </w:style>
  <w:style w:type="character" w:customStyle="1" w:styleId="Symbols">
    <w:name w:val="Symbols"/>
    <w:basedOn w:val="DefaultParagraphFont"/>
    <w:rsid w:val="00A303CC"/>
    <w:rPr>
      <w:rFonts w:ascii="Symbol" w:hAnsi="Symbol"/>
    </w:rPr>
  </w:style>
  <w:style w:type="character" w:customStyle="1" w:styleId="MenuOptions">
    <w:name w:val="Menu Options"/>
    <w:basedOn w:val="DefaultParagraphFont"/>
    <w:rsid w:val="00A303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3CC"/>
    <w:rPr>
      <w:b/>
    </w:rPr>
  </w:style>
  <w:style w:type="character" w:customStyle="1" w:styleId="Underlined">
    <w:name w:val="Underlined"/>
    <w:basedOn w:val="DefaultParagraphFont"/>
    <w:rsid w:val="00A303CC"/>
    <w:rPr>
      <w:u w:val="single"/>
    </w:rPr>
  </w:style>
  <w:style w:type="paragraph" w:customStyle="1" w:styleId="TableBodyTextRight">
    <w:name w:val="Table Body Text Right"/>
    <w:basedOn w:val="TableBodyText"/>
    <w:rsid w:val="00A303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3CC"/>
    <w:rPr>
      <w:sz w:val="18"/>
    </w:rPr>
  </w:style>
  <w:style w:type="paragraph" w:customStyle="1" w:styleId="BodySmallRight">
    <w:name w:val="Body Small Right"/>
    <w:basedOn w:val="BodyTextRight"/>
    <w:rsid w:val="00A303CC"/>
    <w:rPr>
      <w:sz w:val="18"/>
      <w:szCs w:val="18"/>
    </w:rPr>
  </w:style>
  <w:style w:type="paragraph" w:customStyle="1" w:styleId="MarginEdition">
    <w:name w:val="Margin Edition"/>
    <w:basedOn w:val="MarginNote"/>
    <w:rsid w:val="00A303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3CC"/>
    <w:rPr>
      <w:sz w:val="2"/>
      <w:szCs w:val="2"/>
    </w:rPr>
  </w:style>
  <w:style w:type="character" w:customStyle="1" w:styleId="Small">
    <w:name w:val="Small"/>
    <w:basedOn w:val="DefaultParagraphFont"/>
    <w:rsid w:val="00A303CC"/>
    <w:rPr>
      <w:sz w:val="16"/>
    </w:rPr>
  </w:style>
  <w:style w:type="paragraph" w:customStyle="1" w:styleId="WideTable">
    <w:name w:val="Wide Table"/>
    <w:basedOn w:val="Normal"/>
    <w:rsid w:val="00A303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3CC"/>
  </w:style>
  <w:style w:type="paragraph" w:styleId="Quote">
    <w:name w:val="Quote"/>
    <w:basedOn w:val="Heading1"/>
    <w:link w:val="QuoteChar"/>
    <w:qFormat/>
    <w:rsid w:val="00A303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3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3CC"/>
    <w:pPr>
      <w:pageBreakBefore/>
    </w:pPr>
  </w:style>
  <w:style w:type="paragraph" w:customStyle="1" w:styleId="Border">
    <w:name w:val="Border"/>
    <w:basedOn w:val="Normal"/>
    <w:qFormat/>
    <w:rsid w:val="00A303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3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3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3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3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3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3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3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3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3CC"/>
    <w:rPr>
      <w:u w:val="single"/>
    </w:rPr>
  </w:style>
  <w:style w:type="character" w:customStyle="1" w:styleId="BoldandItalics">
    <w:name w:val="Bold and Italics"/>
    <w:qFormat/>
    <w:rsid w:val="00A303CC"/>
    <w:rPr>
      <w:b/>
      <w:i/>
      <w:u w:val="none"/>
    </w:rPr>
  </w:style>
  <w:style w:type="paragraph" w:styleId="BalloonText">
    <w:name w:val="Balloon Text"/>
    <w:basedOn w:val="Normal"/>
    <w:link w:val="BalloonTextChar"/>
    <w:rsid w:val="00A30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3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3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3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3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3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3CC"/>
    <w:pPr>
      <w:spacing w:before="0" w:after="0"/>
    </w:pPr>
  </w:style>
  <w:style w:type="paragraph" w:customStyle="1" w:styleId="BodyTextBold">
    <w:name w:val="Body Text Bold"/>
    <w:basedOn w:val="BodyText"/>
    <w:qFormat/>
    <w:rsid w:val="00A303CC"/>
    <w:rPr>
      <w:b/>
    </w:rPr>
  </w:style>
  <w:style w:type="character" w:styleId="Hyperlink">
    <w:name w:val="Hyperlink"/>
    <w:basedOn w:val="DefaultParagraphFont"/>
    <w:uiPriority w:val="99"/>
    <w:unhideWhenUsed/>
    <w:rsid w:val="00924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3601</Characters>
  <Application>Microsoft Office Word</Application>
  <DocSecurity>0</DocSecurity>
  <Lines>180</Lines>
  <Paragraphs>101</Paragraphs>
  <ScaleCrop>false</ScaleCrop>
  <Company>Author-it Software Corporation Ltd.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DEFTST006 Analyse test data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2024-11-07T12:39:00Z</dcterms:created>
  <dcterms:modified xsi:type="dcterms:W3CDTF">2024-11-07T12:39:00Z</dcterms:modified>
</cp:coreProperties>
</file>