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D14" w:rsidP="00876D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DEFTST006 Analyse test data</w:t>
      </w:r>
      <w:r>
        <w:fldChar w:fldCharType="end"/>
      </w:r>
    </w:p>
    <w:p w:rsidR="00876D14" w:rsidP="00876D14">
      <w:pPr>
        <w:pStyle w:val="Version"/>
        <w:sectPr w:rsidSect="00CA02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027C" w:rsidP="00CA027C">
      <w:pPr>
        <w:pStyle w:val="SuperHeading"/>
      </w:pPr>
      <w:r w:rsidRPr="00CA027C">
        <w:t>DEFTST006 Analyse test data</w:t>
      </w:r>
    </w:p>
    <w:p w:rsidR="00000000" w:rsidRPr="00CA027C" w:rsidP="00CA027C">
      <w:pPr>
        <w:pStyle w:val="Heading1"/>
      </w:pPr>
      <w:bookmarkStart w:id="1" w:name="O_1239205"/>
      <w:bookmarkEnd w:id="1"/>
      <w:r w:rsidRPr="00CA02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Release 2. This is the second release of this unit of competency in the DEF Defence Training Package.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t xml:space="preserve">Release 1. This unit was released in DEF Defence Training Package Release 1.0 and meets the Standards for Training Packages. </w:t>
            </w:r>
          </w:p>
        </w:tc>
      </w:tr>
    </w:tbl>
    <w:p w:rsidR="00000000" w:rsidRPr="00CA027C" w:rsidP="00CA027C">
      <w:pPr>
        <w:pStyle w:val="NoPaddingFontSize1"/>
      </w:pPr>
    </w:p>
    <w:p w:rsidR="00000000" w:rsidRPr="00CA027C" w:rsidP="00CA027C">
      <w:pPr>
        <w:pStyle w:val="AllowPageBreak"/>
      </w:pPr>
    </w:p>
    <w:p w:rsidR="00000000" w:rsidRPr="00CA027C" w:rsidP="00CA027C">
      <w:pPr>
        <w:pStyle w:val="Heading1"/>
      </w:pPr>
      <w:bookmarkStart w:id="2" w:name="O_1239204"/>
      <w:bookmarkEnd w:id="2"/>
      <w:r w:rsidRPr="00CA02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t>This unit describes the skills and knowledge required to analyse test data.</w:t>
            </w:r>
          </w:p>
          <w:p w:rsidR="00000000" w:rsidRPr="00CA027C" w:rsidP="00CA027C">
            <w:pPr>
              <w:pStyle w:val="BodyText"/>
            </w:pPr>
            <w:r w:rsidRPr="00CA027C">
              <w:t>It includes performing scientific calculations, analysing trends and relationships in data and determining variation and/or uncertainty in data distribut</w:t>
            </w:r>
            <w:r w:rsidRPr="00CA027C">
              <w:t>ions. It also includes checking for aberrant results and maintaining results.</w:t>
            </w:r>
          </w:p>
          <w:p w:rsidR="00000000" w:rsidRPr="00CA027C" w:rsidP="00CA027C">
            <w:pPr>
              <w:pStyle w:val="BodyText"/>
            </w:pPr>
            <w:r w:rsidRPr="00CA027C">
              <w:t>This unit was developed for Defence test and evaluation workers but is applicable to any individuals who work in this field.</w:t>
            </w:r>
          </w:p>
          <w:p w:rsidR="00000000" w:rsidRPr="00CA027C" w:rsidP="00CA027C">
            <w:pPr>
              <w:pStyle w:val="BodyText"/>
            </w:pPr>
            <w:r w:rsidRPr="00CA027C">
              <w:t xml:space="preserve">The skills and knowledge described in this unit must </w:t>
            </w:r>
            <w:r w:rsidRPr="00CA027C">
              <w:t>be applied within the legislative, regulatory and policy environment in which they are carried out. Organisational policies and procedures must be consulted and adhered to.</w:t>
            </w:r>
          </w:p>
          <w:p w:rsidR="00000000" w:rsidRPr="00CA027C" w:rsidP="00CA027C">
            <w:pPr>
              <w:pStyle w:val="BodyText"/>
            </w:pPr>
            <w:r w:rsidRPr="00CA027C">
              <w:t>Those undertaking this unit would work independently or as part of a team, under di</w:t>
            </w:r>
            <w:r w:rsidRPr="00CA027C">
              <w:t>rect and indirect supervision, use discretion and judgement, and take responsibility for the quality of their output. They would perform complex tasks in a range of contexts.</w:t>
            </w:r>
          </w:p>
          <w:p w:rsidR="00000000" w:rsidRPr="00CA027C" w:rsidP="00CA027C">
            <w:pPr>
              <w:pStyle w:val="BodyText"/>
            </w:pPr>
            <w:r w:rsidRPr="00CA027C">
              <w:t>No licensing, legislative or certification requirements apply to unit at the time</w:t>
            </w:r>
            <w:r w:rsidRPr="00CA027C">
              <w:t xml:space="preserve"> of publication.</w:t>
            </w:r>
          </w:p>
        </w:tc>
      </w:tr>
    </w:tbl>
    <w:p w:rsidR="00000000" w:rsidRPr="00CA027C" w:rsidP="00CA027C">
      <w:pPr>
        <w:pStyle w:val="NoPaddingFontSize1"/>
      </w:pPr>
    </w:p>
    <w:p w:rsidR="00000000" w:rsidRPr="00CA027C" w:rsidP="00CA027C">
      <w:pPr>
        <w:pStyle w:val="AllowPageBreak"/>
      </w:pPr>
    </w:p>
    <w:p w:rsidR="00000000" w:rsidRPr="00CA027C" w:rsidP="00CA027C">
      <w:pPr>
        <w:pStyle w:val="Heading1"/>
      </w:pPr>
      <w:bookmarkStart w:id="3" w:name="O_1241445"/>
      <w:bookmarkEnd w:id="3"/>
      <w:r w:rsidRPr="00CA02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t>Not applicable.</w:t>
            </w:r>
          </w:p>
        </w:tc>
      </w:tr>
    </w:tbl>
    <w:p w:rsidR="00000000" w:rsidRPr="00CA027C" w:rsidP="00CA027C">
      <w:pPr>
        <w:pStyle w:val="NoPaddingFontSize1"/>
      </w:pPr>
    </w:p>
    <w:p w:rsidR="00000000" w:rsidRPr="00CA027C" w:rsidP="00CA027C">
      <w:pPr>
        <w:pStyle w:val="AllowPageBreak"/>
      </w:pPr>
    </w:p>
    <w:p w:rsidR="00000000" w:rsidRPr="00CA027C" w:rsidP="00CA027C">
      <w:pPr>
        <w:pStyle w:val="Heading1"/>
      </w:pPr>
      <w:bookmarkStart w:id="4" w:name="O_1239203"/>
      <w:bookmarkEnd w:id="4"/>
      <w:r w:rsidRPr="00CA02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t>Test and Evaluation.</w:t>
            </w:r>
          </w:p>
        </w:tc>
      </w:tr>
    </w:tbl>
    <w:p w:rsidR="00000000" w:rsidRPr="00CA027C" w:rsidP="00CA027C">
      <w:pPr>
        <w:pStyle w:val="NoPaddingFontSize1"/>
      </w:pPr>
    </w:p>
    <w:p w:rsidR="00000000" w:rsidRPr="00CA027C" w:rsidP="00CA027C">
      <w:pPr>
        <w:pStyle w:val="AllowPageBreak"/>
      </w:pPr>
    </w:p>
    <w:p w:rsidR="00000000" w:rsidRPr="00CA027C" w:rsidP="00CA027C">
      <w:pPr>
        <w:pStyle w:val="Heading1"/>
      </w:pPr>
      <w:bookmarkStart w:id="5" w:name="O_1241446"/>
      <w:bookmarkEnd w:id="5"/>
      <w:r w:rsidRPr="00CA02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t>Not applicable.</w:t>
            </w:r>
          </w:p>
        </w:tc>
      </w:tr>
    </w:tbl>
    <w:p w:rsidR="00000000" w:rsidRPr="00CA027C" w:rsidP="00CA027C">
      <w:pPr>
        <w:pStyle w:val="NoPaddingFontSize1"/>
      </w:pPr>
    </w:p>
    <w:p w:rsidR="00000000" w:rsidRPr="00CA027C" w:rsidP="00CA027C">
      <w:pPr>
        <w:pStyle w:val="AllowPageBreak"/>
      </w:pPr>
    </w:p>
    <w:p w:rsidR="00000000" w:rsidRPr="00CA027C" w:rsidP="00CA027C">
      <w:pPr>
        <w:pStyle w:val="Heading1"/>
      </w:pPr>
      <w:bookmarkStart w:id="6" w:name="O_1239202"/>
      <w:bookmarkEnd w:id="6"/>
      <w:r w:rsidRPr="00CA027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672"/>
        <w:gridCol w:w="714"/>
        <w:gridCol w:w="5705"/>
      </w:tblGrid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rPr>
                <w:rStyle w:val="SpecialBold"/>
              </w:rPr>
              <w:t>ELEMENTS</w:t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PERFORMANCE CRITERIA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Elements describe the essential outcomes.</w:t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Performance criteria describe the performance needed to demonstrate achievement of the element.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rPr>
                <w:rStyle w:val="SpecialBold"/>
              </w:rPr>
              <w:t>1</w:t>
            </w:r>
          </w:p>
        </w:tc>
        <w:tc>
          <w:tcPr>
            <w:tcW w:w="26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rPr>
                <w:rStyle w:val="SpecialBold"/>
              </w:rPr>
              <w:t>Perform scientific calculations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1.1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Ensure consistency of raw data with expectations and reasonable ranges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1.2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Calculate scientific quantities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1.3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Determine calculated quantities and estimations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1.4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Present results using the appropriate units, uncertainties and number of significant figures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rPr>
                <w:rStyle w:val="SpecialBold"/>
              </w:rPr>
              <w:t>2</w:t>
            </w:r>
          </w:p>
        </w:tc>
        <w:tc>
          <w:tcPr>
            <w:tcW w:w="26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rPr>
                <w:rStyle w:val="SpecialBold"/>
              </w:rPr>
              <w:t>Analyse trends and relationships in data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2.1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Determine relationships between sets of data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2.2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Prepare and analyse data to determine if a process is in control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2.3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Identify possible causes for out of control condition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rPr>
                <w:rStyle w:val="SpecialBold"/>
              </w:rPr>
              <w:t>3</w:t>
            </w:r>
          </w:p>
        </w:tc>
        <w:tc>
          <w:tcPr>
            <w:tcW w:w="26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rPr>
                <w:rStyle w:val="SpecialBold"/>
              </w:rPr>
              <w:t>Determine variation and/or uncertainty in data distributions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3.1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Organise raw data into appropriate frequency distributions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3.2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Calculate statistical properties for ungrouped and grouped data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3.3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Interpret statistical properties to determine characteristics of sample or population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3.4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Calculate standard deviations and confidence limits for means and replicates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3.5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Determine uncertainty in measurements using statistical analysis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3.6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Determine data acceptability using statistical tests and organisational procedures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rPr>
                <w:rStyle w:val="SpecialBold"/>
              </w:rPr>
              <w:t>4</w:t>
            </w:r>
          </w:p>
        </w:tc>
        <w:tc>
          <w:tcPr>
            <w:tcW w:w="26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rPr>
                <w:rStyle w:val="SpecialBold"/>
              </w:rPr>
              <w:t>Check for aberrant results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4.1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Identify results that cannot be reconciled with documentation, test</w:t>
            </w:r>
            <w:r w:rsidRPr="00CA027C">
              <w:t>ing procedures and/or expected outcomes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4.2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Determine appropriate actions in consultation with relevant personnel, as required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rPr>
                <w:rStyle w:val="SpecialBold"/>
              </w:rPr>
              <w:t>5</w:t>
            </w:r>
          </w:p>
        </w:tc>
        <w:tc>
          <w:tcPr>
            <w:tcW w:w="26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rPr>
                <w:rStyle w:val="SpecialBold"/>
              </w:rPr>
              <w:t>Maintain results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5.1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 xml:space="preserve">Store, retrieve and manipulate data following document </w:t>
            </w:r>
            <w:r w:rsidRPr="00CA027C">
              <w:t>traceability procedures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5.2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Present results in an appropriate format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5.3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Verify entry of data and results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5.4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Maintain security and confidentiality of data in accordance with organisational policies and procedures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rPr>
                <w:rStyle w:val="SpecialBold"/>
              </w:rPr>
              <w:t>5.5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t>Prepare reports in a format and style consistent with their intended use and organisational guidelines</w:t>
            </w:r>
          </w:p>
        </w:tc>
      </w:tr>
    </w:tbl>
    <w:p w:rsidR="00000000" w:rsidRPr="00CA027C" w:rsidP="00CA027C">
      <w:pPr>
        <w:pStyle w:val="NoPaddingFontSize1"/>
      </w:pPr>
    </w:p>
    <w:p w:rsidR="00000000" w:rsidRPr="00CA027C" w:rsidP="00CA027C">
      <w:pPr>
        <w:pStyle w:val="AllowPageBreak"/>
      </w:pPr>
    </w:p>
    <w:p w:rsidR="00000000" w:rsidRPr="00CA027C" w:rsidP="00CA027C">
      <w:pPr>
        <w:pStyle w:val="Heading1"/>
      </w:pPr>
      <w:bookmarkStart w:id="7" w:name="O_1239201"/>
      <w:bookmarkEnd w:id="7"/>
      <w:r w:rsidRPr="00CA027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t>Foundation skills essential to performance are explicit in the performance criteria of this unit of competency.</w:t>
            </w:r>
          </w:p>
        </w:tc>
      </w:tr>
    </w:tbl>
    <w:p w:rsidR="00000000" w:rsidRPr="00CA027C" w:rsidP="00CA027C">
      <w:pPr>
        <w:pStyle w:val="NoPaddingFontSize1"/>
      </w:pPr>
    </w:p>
    <w:p w:rsidR="00000000" w:rsidRPr="00CA027C" w:rsidP="00CA027C">
      <w:pPr>
        <w:pStyle w:val="AllowPageBreak"/>
      </w:pPr>
    </w:p>
    <w:p w:rsidR="00000000" w:rsidRPr="00CA027C" w:rsidP="00CA027C">
      <w:pPr>
        <w:pStyle w:val="Heading1"/>
      </w:pPr>
      <w:bookmarkStart w:id="8" w:name="O_1241447"/>
      <w:bookmarkEnd w:id="8"/>
      <w:r w:rsidRPr="00CA02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t>Range is restricted to essential operating conditions and any other variables essential to the work environment.</w:t>
            </w:r>
          </w:p>
          <w:p w:rsidR="00000000" w:rsidRPr="00CA027C" w:rsidP="00CA027C">
            <w:pPr>
              <w:pStyle w:val="BodyText"/>
            </w:pPr>
            <w:r w:rsidRPr="00CA027C">
              <w:t>Non-essential conditions may be found in the DEF Defence Training Package Companion Volume Implementatio</w:t>
            </w:r>
            <w:r w:rsidRPr="00CA027C">
              <w:t>n Guide.</w:t>
            </w:r>
          </w:p>
        </w:tc>
      </w:tr>
    </w:tbl>
    <w:p w:rsidR="00000000" w:rsidRPr="00CA027C" w:rsidP="00CA027C">
      <w:pPr>
        <w:pStyle w:val="NoPaddingFontSize1"/>
      </w:pPr>
    </w:p>
    <w:p w:rsidR="00000000" w:rsidRPr="00CA027C" w:rsidP="00CA027C">
      <w:pPr>
        <w:pStyle w:val="AllowPageBreak"/>
      </w:pPr>
    </w:p>
    <w:p w:rsidR="00000000" w:rsidRPr="00CA027C" w:rsidP="00CA027C">
      <w:pPr>
        <w:pStyle w:val="Heading1"/>
      </w:pPr>
      <w:bookmarkStart w:id="9" w:name="O_1239200"/>
      <w:bookmarkEnd w:id="9"/>
      <w:r w:rsidRPr="00CA02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t>This unit replaces and is equivalent to DEFTE006A Analyse test data.</w:t>
            </w:r>
          </w:p>
        </w:tc>
      </w:tr>
    </w:tbl>
    <w:p w:rsidR="00000000" w:rsidRPr="00CA027C" w:rsidP="00CA027C">
      <w:pPr>
        <w:pStyle w:val="NoPaddingFontSize1"/>
      </w:pPr>
    </w:p>
    <w:p w:rsidR="00000000" w:rsidRPr="00CA027C" w:rsidP="00CA027C">
      <w:pPr>
        <w:pStyle w:val="AllowPageBreak"/>
      </w:pPr>
    </w:p>
    <w:p w:rsidR="00000000" w:rsidRPr="00CA027C" w:rsidP="00CA027C">
      <w:pPr>
        <w:pStyle w:val="Heading1"/>
      </w:pPr>
      <w:bookmarkStart w:id="10" w:name="O_1239206"/>
      <w:bookmarkEnd w:id="10"/>
      <w:r w:rsidRPr="00CA027C">
        <w:t>Links</w:t>
      </w:r>
    </w:p>
    <w:p w:rsidR="00000000" w:rsidRPr="00CA027C" w:rsidP="00876D14">
      <w:pPr>
        <w:pStyle w:val="BodyText"/>
      </w:pPr>
      <w:r w:rsidRPr="00CA027C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1046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A027C" w:rsidP="00876D14">
      <w:pPr>
        <w:pStyle w:val="BodyText"/>
        <w:sectPr w:rsidSect="00CA02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027C" w:rsidP="00CA027C">
      <w:pPr>
        <w:pStyle w:val="SuperHeading"/>
      </w:pPr>
      <w:r w:rsidRPr="00CA027C">
        <w:t>Assessment Requirements for DEFTST006 Analyse test data</w:t>
      </w:r>
    </w:p>
    <w:p w:rsidR="00000000" w:rsidRPr="00CA027C" w:rsidP="00CA027C">
      <w:pPr>
        <w:pStyle w:val="Heading1"/>
      </w:pPr>
      <w:bookmarkStart w:id="11" w:name="O_1239198"/>
      <w:bookmarkEnd w:id="11"/>
      <w:r w:rsidRPr="00CA02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Release 2. This is the second release of this unit of competency in the DEF Defence Training Package.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t xml:space="preserve">Release 1. This unit was released in DEF Defence Training Package Release 1.0 and meets the Standards for Training Packages. </w:t>
            </w:r>
          </w:p>
        </w:tc>
      </w:tr>
    </w:tbl>
    <w:p w:rsidR="00000000" w:rsidRPr="00CA027C" w:rsidP="00CA027C">
      <w:pPr>
        <w:pStyle w:val="NoPaddingFontSize1"/>
      </w:pPr>
    </w:p>
    <w:p w:rsidR="00000000" w:rsidRPr="00CA027C" w:rsidP="00CA027C">
      <w:pPr>
        <w:pStyle w:val="AllowPageBreak"/>
      </w:pPr>
    </w:p>
    <w:p w:rsidR="00000000" w:rsidRPr="00CA027C" w:rsidP="00CA027C">
      <w:pPr>
        <w:pStyle w:val="Heading1"/>
      </w:pPr>
      <w:bookmarkStart w:id="12" w:name="O_1239197"/>
      <w:bookmarkEnd w:id="12"/>
      <w:r w:rsidRPr="00CA027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ListBullet"/>
            </w:pPr>
            <w:r w:rsidRPr="00CA027C">
              <w:t>completing mathematical calculations involvi</w:t>
            </w:r>
            <w:r w:rsidRPr="00CA027C">
              <w:t>ng fractions, decimals, ratios, proportions and percentages</w:t>
            </w:r>
          </w:p>
          <w:p w:rsidR="00000000" w:rsidRPr="00CA027C" w:rsidP="00CA027C">
            <w:pPr>
              <w:pStyle w:val="ListBullet"/>
            </w:pPr>
            <w:r w:rsidRPr="00CA027C">
              <w:t xml:space="preserve">evaluating mathematical formulae </w:t>
            </w:r>
          </w:p>
          <w:p w:rsidR="00000000" w:rsidRPr="00CA027C" w:rsidP="00CA027C">
            <w:pPr>
              <w:pStyle w:val="ListBullet"/>
            </w:pPr>
            <w:r w:rsidRPr="00CA027C">
              <w:t>interpreting scientific properties</w:t>
            </w:r>
          </w:p>
          <w:p w:rsidR="00000000" w:rsidRPr="00CA027C" w:rsidP="00CA027C">
            <w:pPr>
              <w:pStyle w:val="ListBullet"/>
            </w:pPr>
            <w:r w:rsidRPr="00CA027C">
              <w:t>preparing and interpreting graphs and data.</w:t>
            </w:r>
          </w:p>
        </w:tc>
      </w:tr>
    </w:tbl>
    <w:p w:rsidR="00000000" w:rsidRPr="00CA027C" w:rsidP="00CA027C">
      <w:pPr>
        <w:pStyle w:val="NoPaddingFontSize1"/>
      </w:pPr>
    </w:p>
    <w:p w:rsidR="00000000" w:rsidRPr="00CA027C" w:rsidP="00CA027C">
      <w:pPr>
        <w:pStyle w:val="AllowPageBreak"/>
      </w:pPr>
    </w:p>
    <w:p w:rsidR="00000000" w:rsidRPr="00CA027C" w:rsidP="00CA027C">
      <w:pPr>
        <w:pStyle w:val="Heading1"/>
      </w:pPr>
      <w:bookmarkStart w:id="13" w:name="O_1239196"/>
      <w:bookmarkEnd w:id="13"/>
      <w:r w:rsidRPr="00CA027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27C">
            <w:pPr>
              <w:pStyle w:val="BodyText"/>
              <w:rPr>
                <w:lang w:val="en-NZ"/>
              </w:rPr>
            </w:pPr>
            <w:r w:rsidRPr="00CA027C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ListBullet"/>
            </w:pPr>
            <w:r w:rsidRPr="00CA027C">
              <w:t xml:space="preserve">characteristics of a valid measurement </w:t>
            </w:r>
          </w:p>
          <w:p w:rsidR="00000000" w:rsidRPr="00CA027C" w:rsidP="00CA027C">
            <w:pPr>
              <w:pStyle w:val="ListBullet"/>
            </w:pPr>
            <w:r w:rsidRPr="00CA027C">
              <w:t xml:space="preserve">procedures for data traceability </w:t>
            </w:r>
          </w:p>
          <w:p w:rsidR="00000000" w:rsidRPr="00CA027C" w:rsidP="00CA027C">
            <w:pPr>
              <w:pStyle w:val="ListBullet"/>
            </w:pPr>
            <w:r w:rsidRPr="00CA027C">
              <w:t>pro</w:t>
            </w:r>
            <w:r w:rsidRPr="00CA027C">
              <w:t xml:space="preserve">cedures for maintaining and filing records, and security of data </w:t>
            </w:r>
          </w:p>
          <w:p w:rsidR="00000000" w:rsidRPr="00CA027C" w:rsidP="00CA027C">
            <w:pPr>
              <w:pStyle w:val="ListBullet"/>
            </w:pPr>
            <w:r w:rsidRPr="00CA027C">
              <w:t>procedures for verifying data and rectifying mistakes</w:t>
            </w:r>
          </w:p>
          <w:p w:rsidR="00000000" w:rsidRPr="00CA027C" w:rsidP="00CA027C">
            <w:pPr>
              <w:pStyle w:val="ListBullet"/>
            </w:pPr>
            <w:r w:rsidRPr="00CA027C">
              <w:t>relevant scientific terminology</w:t>
            </w:r>
          </w:p>
          <w:p w:rsidR="00000000" w:rsidRPr="00CA027C" w:rsidP="00CA027C">
            <w:pPr>
              <w:pStyle w:val="ListBullet"/>
            </w:pPr>
            <w:r w:rsidRPr="00CA027C">
              <w:t>sources of uncertainty in measurements.</w:t>
            </w:r>
          </w:p>
        </w:tc>
      </w:tr>
    </w:tbl>
    <w:p w:rsidR="00000000" w:rsidRPr="00CA027C" w:rsidP="00CA027C">
      <w:pPr>
        <w:pStyle w:val="NoPaddingFontSize1"/>
      </w:pPr>
    </w:p>
    <w:p w:rsidR="00000000" w:rsidRPr="00CA027C" w:rsidP="00CA027C">
      <w:pPr>
        <w:pStyle w:val="AllowPageBreak"/>
      </w:pPr>
    </w:p>
    <w:p w:rsidR="00000000" w:rsidRPr="00CA027C" w:rsidP="00CA027C">
      <w:pPr>
        <w:pStyle w:val="Heading1"/>
      </w:pPr>
      <w:bookmarkStart w:id="14" w:name="O_1239195"/>
      <w:bookmarkEnd w:id="14"/>
      <w:r w:rsidRPr="00CA027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27C" w:rsidP="00CA027C">
            <w:pPr>
              <w:pStyle w:val="BodyText"/>
            </w:pPr>
            <w:r w:rsidRPr="00CA027C">
              <w:t xml:space="preserve">Assessors must hold credentials specified within the Standards for Registered Training Organisations current at the time of assessment. </w:t>
            </w:r>
          </w:p>
          <w:p w:rsidR="00000000" w:rsidRPr="00CA027C" w:rsidP="00CA027C">
            <w:pPr>
              <w:pStyle w:val="BodyText"/>
            </w:pPr>
            <w:r w:rsidRPr="00CA027C">
              <w:t>Assessment must satisfy the Principles of Assessment and Rules of Evidence and all regulatory requirements included wit</w:t>
            </w:r>
            <w:r w:rsidRPr="00CA027C">
              <w:t>hin the Standards for Registered Training Organisations current at the time of assessment.</w:t>
            </w:r>
          </w:p>
          <w:p w:rsidR="00000000" w:rsidRPr="00CA027C" w:rsidP="00CA027C">
            <w:pPr>
              <w:pStyle w:val="BodyText"/>
            </w:pPr>
            <w:r w:rsidRPr="00CA027C">
              <w:t>Assessment must occur in workplace operational situations where it is appropriate to do so; where this is not appropriate, assessment must occur in simulated workpla</w:t>
            </w:r>
            <w:r w:rsidRPr="00CA027C">
              <w:t>ce operational situations that replicate workplace conditions.</w:t>
            </w:r>
          </w:p>
          <w:p w:rsidR="00000000" w:rsidRPr="00CA027C" w:rsidP="00CA027C">
            <w:pPr>
              <w:pStyle w:val="BodyText"/>
            </w:pPr>
            <w:r w:rsidRPr="00CA027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A027C" w:rsidP="00CA027C">
            <w:pPr>
              <w:pStyle w:val="BodyText"/>
            </w:pPr>
            <w:r w:rsidRPr="00CA027C">
              <w:t xml:space="preserve">Resources for assessment </w:t>
            </w:r>
            <w:r w:rsidRPr="00CA027C">
              <w:t>must include access to:</w:t>
            </w:r>
          </w:p>
          <w:p w:rsidR="00000000" w:rsidRPr="00CA027C" w:rsidP="00CA027C">
            <w:pPr>
              <w:pStyle w:val="ListBullet"/>
            </w:pPr>
            <w:r w:rsidRPr="00CA027C">
              <w:t>a range of relevant exercises, case studies and/or simulations</w:t>
            </w:r>
          </w:p>
          <w:p w:rsidR="00000000" w:rsidRPr="00CA027C" w:rsidP="00CA027C">
            <w:pPr>
              <w:pStyle w:val="ListBullet"/>
            </w:pPr>
            <w:r w:rsidRPr="00CA027C">
              <w:t>applicable documentation, including legislation, regulations, codes of practice, workplace procedures and operation manuals</w:t>
            </w:r>
          </w:p>
          <w:p w:rsidR="00000000" w:rsidRPr="00CA027C" w:rsidP="00CA027C">
            <w:pPr>
              <w:pStyle w:val="ListBullet"/>
            </w:pPr>
            <w:r w:rsidRPr="00CA027C">
              <w:t>relevant and appropriate materials, tools, e</w:t>
            </w:r>
            <w:r w:rsidRPr="00CA027C">
              <w:t>quipment and personal protective equipment (PPE) currently used in industry.</w:t>
            </w:r>
          </w:p>
        </w:tc>
      </w:tr>
    </w:tbl>
    <w:p w:rsidR="00000000" w:rsidRPr="00CA027C" w:rsidP="00CA027C">
      <w:pPr>
        <w:pStyle w:val="NoPaddingFontSize1"/>
      </w:pPr>
    </w:p>
    <w:p w:rsidR="00000000" w:rsidRPr="00CA027C" w:rsidP="00CA027C">
      <w:pPr>
        <w:pStyle w:val="AllowPageBreak"/>
      </w:pPr>
    </w:p>
    <w:p w:rsidR="00000000" w:rsidRPr="00CA027C" w:rsidP="00CA027C">
      <w:pPr>
        <w:pStyle w:val="Heading1"/>
      </w:pPr>
      <w:bookmarkStart w:id="15" w:name="O_1239207"/>
      <w:bookmarkEnd w:id="15"/>
      <w:r w:rsidRPr="00CA027C">
        <w:t>Links</w:t>
      </w:r>
    </w:p>
    <w:p w:rsidR="00000000" w:rsidRPr="00CA027C" w:rsidP="00876D14">
      <w:pPr>
        <w:pStyle w:val="BodyText"/>
      </w:pPr>
      <w:r w:rsidRPr="00CA027C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1046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A027C" w:rsidP="00CA027C"/>
    <w:sectPr w:rsidSect="00CA02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7C" w:rsidRPr="00876D14" w:rsidP="00876D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14" w:rsidP="00CA0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6D14" w:rsidP="00CA0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76D14" w:rsidP="00CA02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7C" w:rsidP="00CA0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6D14">
      <w:t>Approved</w:t>
    </w:r>
    <w:r w:rsidR="00876D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6D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6D14">
      <w:rPr>
        <w:noProof/>
      </w:rPr>
      <w:t>4</w:t>
    </w:r>
    <w:r>
      <w:rPr>
        <w:noProof/>
      </w:rPr>
      <w:fldChar w:fldCharType="end"/>
    </w:r>
  </w:p>
  <w:p w:rsidR="00CA027C" w:rsidP="00CA0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6D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6D14">
      <w:t>Public Skills Australia</w:t>
    </w:r>
    <w:r w:rsidR="00876D14">
      <w:fldChar w:fldCharType="end"/>
    </w:r>
  </w:p>
  <w:p w:rsidR="00CA027C" w:rsidP="00CA02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27C" w:rsidRPr="00876D14" w:rsidP="00876D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14" w:rsidRPr="002D2AF8" w:rsidP="00CA0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DEFTST006 Analyse test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76D14" w:rsidP="00CA02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27C" w:rsidRPr="002D2AF8" w:rsidP="00CA0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6D14">
      <w:t>DEFTST006 Analyse test data</w:t>
    </w:r>
    <w:r w:rsidR="00876D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6D14">
      <w:rPr>
        <w:noProof/>
      </w:rPr>
      <w:t>1 March 2025</w:t>
    </w:r>
    <w:r>
      <w:fldChar w:fldCharType="end"/>
    </w:r>
  </w:p>
  <w:p w:rsidR="00CA027C" w:rsidP="00CA02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8E1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029E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2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2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2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2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2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2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2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2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2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2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2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27C"/>
  </w:style>
  <w:style w:type="character" w:customStyle="1" w:styleId="Heading1Char">
    <w:name w:val="Heading 1 Char"/>
    <w:basedOn w:val="DefaultParagraphFont"/>
    <w:link w:val="Heading1"/>
    <w:rsid w:val="00CA02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2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2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02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027C"/>
    <w:rPr>
      <w:b/>
      <w:spacing w:val="0"/>
    </w:rPr>
  </w:style>
  <w:style w:type="paragraph" w:customStyle="1" w:styleId="SuperHeading">
    <w:name w:val="SuperHeading"/>
    <w:basedOn w:val="Normal"/>
    <w:rsid w:val="00CA02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02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02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2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2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2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2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2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2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2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2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2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2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2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2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2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02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02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02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2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2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02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02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2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2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2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2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2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2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2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2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027C"/>
    <w:rPr>
      <w:i/>
    </w:rPr>
  </w:style>
  <w:style w:type="paragraph" w:styleId="Caption">
    <w:name w:val="caption"/>
    <w:basedOn w:val="BodyText"/>
    <w:next w:val="Normal"/>
    <w:qFormat/>
    <w:rsid w:val="00CA02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2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2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27C"/>
  </w:style>
  <w:style w:type="paragraph" w:styleId="TableofFigures">
    <w:name w:val="table of figures"/>
    <w:basedOn w:val="Normal"/>
    <w:next w:val="Normal"/>
    <w:semiHidden/>
    <w:rsid w:val="00CA02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2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027C"/>
    <w:rPr>
      <w:rFonts w:ascii="Wingdings" w:hAnsi="Wingdings"/>
    </w:rPr>
  </w:style>
  <w:style w:type="paragraph" w:customStyle="1" w:styleId="TableHeading">
    <w:name w:val="Table Heading"/>
    <w:basedOn w:val="HeadingBase"/>
    <w:rsid w:val="00CA02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27C"/>
    <w:rPr>
      <w:color w:val="0033CC"/>
      <w:u w:val="none"/>
    </w:rPr>
  </w:style>
  <w:style w:type="paragraph" w:customStyle="1" w:styleId="BodyTextRight">
    <w:name w:val="Body Text Right"/>
    <w:basedOn w:val="BodyText"/>
    <w:rsid w:val="00CA02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2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2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2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2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2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27C"/>
    <w:rPr>
      <w:sz w:val="32"/>
    </w:rPr>
  </w:style>
  <w:style w:type="paragraph" w:customStyle="1" w:styleId="HeadingProcedure">
    <w:name w:val="Heading Procedure"/>
    <w:basedOn w:val="HeadingBase"/>
    <w:next w:val="Normal"/>
    <w:rsid w:val="00CA02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27C"/>
    <w:pPr>
      <w:spacing w:before="60" w:after="60"/>
    </w:pPr>
  </w:style>
  <w:style w:type="paragraph" w:styleId="ListContinue">
    <w:name w:val="List Continue"/>
    <w:basedOn w:val="List"/>
    <w:rsid w:val="00CA027C"/>
    <w:pPr>
      <w:ind w:firstLine="0"/>
    </w:pPr>
  </w:style>
  <w:style w:type="paragraph" w:customStyle="1" w:styleId="ListNote">
    <w:name w:val="List Note"/>
    <w:basedOn w:val="List"/>
    <w:rsid w:val="00CA02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2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2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27C"/>
    <w:rPr>
      <w:rFonts w:ascii="Courier New" w:hAnsi="Courier New"/>
    </w:rPr>
  </w:style>
  <w:style w:type="paragraph" w:customStyle="1" w:styleId="NoteBullet">
    <w:name w:val="Note Bullet"/>
    <w:basedOn w:val="Note"/>
    <w:rsid w:val="00CA02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2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2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2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2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02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2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27C"/>
    <w:rPr>
      <w:b/>
      <w:smallCaps/>
    </w:rPr>
  </w:style>
  <w:style w:type="paragraph" w:customStyle="1" w:styleId="TableListNumber">
    <w:name w:val="Table List Number"/>
    <w:basedOn w:val="ListNumber"/>
    <w:rsid w:val="00CA02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2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27C"/>
    <w:pPr>
      <w:numPr>
        <w:numId w:val="8"/>
      </w:numPr>
    </w:pPr>
  </w:style>
  <w:style w:type="paragraph" w:customStyle="1" w:styleId="ListAlpha2">
    <w:name w:val="List Alpha 2"/>
    <w:basedOn w:val="List2"/>
    <w:rsid w:val="00CA027C"/>
    <w:pPr>
      <w:numPr>
        <w:numId w:val="7"/>
      </w:numPr>
    </w:pPr>
  </w:style>
  <w:style w:type="paragraph" w:styleId="List2">
    <w:name w:val="List 2"/>
    <w:basedOn w:val="BodyText"/>
    <w:rsid w:val="00CA02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2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2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2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02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02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027C"/>
    <w:pPr>
      <w:numPr>
        <w:numId w:val="3"/>
      </w:numPr>
    </w:pPr>
  </w:style>
  <w:style w:type="paragraph" w:styleId="ListContinue2">
    <w:name w:val="List Continue 2"/>
    <w:basedOn w:val="List2"/>
    <w:rsid w:val="00CA027C"/>
    <w:pPr>
      <w:ind w:firstLine="0"/>
    </w:pPr>
  </w:style>
  <w:style w:type="paragraph" w:styleId="ListContinue3">
    <w:name w:val="List Continue 3"/>
    <w:basedOn w:val="List3"/>
    <w:rsid w:val="00CA027C"/>
    <w:pPr>
      <w:ind w:left="1021" w:firstLine="0"/>
    </w:pPr>
  </w:style>
  <w:style w:type="paragraph" w:styleId="ListContinue4">
    <w:name w:val="List Continue 4"/>
    <w:basedOn w:val="List4"/>
    <w:rsid w:val="00CA027C"/>
    <w:pPr>
      <w:ind w:firstLine="0"/>
    </w:pPr>
  </w:style>
  <w:style w:type="paragraph" w:styleId="ListContinue5">
    <w:name w:val="List Continue 5"/>
    <w:basedOn w:val="List5"/>
    <w:rsid w:val="00CA027C"/>
    <w:pPr>
      <w:ind w:firstLine="0"/>
    </w:pPr>
  </w:style>
  <w:style w:type="paragraph" w:styleId="ListNumber3">
    <w:name w:val="List Number 3"/>
    <w:basedOn w:val="List3"/>
    <w:rsid w:val="00CA027C"/>
    <w:pPr>
      <w:numPr>
        <w:numId w:val="4"/>
      </w:numPr>
    </w:pPr>
  </w:style>
  <w:style w:type="paragraph" w:styleId="ListNumber4">
    <w:name w:val="List Number 4"/>
    <w:basedOn w:val="List4"/>
    <w:rsid w:val="00CA027C"/>
    <w:pPr>
      <w:numPr>
        <w:numId w:val="5"/>
      </w:numPr>
    </w:pPr>
  </w:style>
  <w:style w:type="paragraph" w:styleId="ListNumber5">
    <w:name w:val="List Number 5"/>
    <w:basedOn w:val="List5"/>
    <w:rsid w:val="00CA027C"/>
    <w:pPr>
      <w:numPr>
        <w:numId w:val="6"/>
      </w:numPr>
    </w:pPr>
  </w:style>
  <w:style w:type="paragraph" w:styleId="BlockText">
    <w:name w:val="Block Text"/>
    <w:basedOn w:val="Normal"/>
    <w:rsid w:val="00CA02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2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27C"/>
    <w:rPr>
      <w:sz w:val="16"/>
      <w:vertAlign w:val="superscript"/>
    </w:rPr>
  </w:style>
  <w:style w:type="character" w:customStyle="1" w:styleId="Symbols">
    <w:name w:val="Symbols"/>
    <w:basedOn w:val="DefaultParagraphFont"/>
    <w:rsid w:val="00CA027C"/>
    <w:rPr>
      <w:rFonts w:ascii="Symbol" w:hAnsi="Symbol"/>
    </w:rPr>
  </w:style>
  <w:style w:type="character" w:customStyle="1" w:styleId="MenuOptions">
    <w:name w:val="Menu Options"/>
    <w:basedOn w:val="DefaultParagraphFont"/>
    <w:rsid w:val="00CA02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27C"/>
    <w:rPr>
      <w:b/>
    </w:rPr>
  </w:style>
  <w:style w:type="character" w:customStyle="1" w:styleId="Underlined">
    <w:name w:val="Underlined"/>
    <w:basedOn w:val="DefaultParagraphFont"/>
    <w:rsid w:val="00CA027C"/>
    <w:rPr>
      <w:u w:val="single"/>
    </w:rPr>
  </w:style>
  <w:style w:type="paragraph" w:customStyle="1" w:styleId="TableBodyTextRight">
    <w:name w:val="Table Body Text Right"/>
    <w:basedOn w:val="TableBodyText"/>
    <w:rsid w:val="00CA02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27C"/>
    <w:rPr>
      <w:sz w:val="18"/>
    </w:rPr>
  </w:style>
  <w:style w:type="paragraph" w:customStyle="1" w:styleId="BodySmallRight">
    <w:name w:val="Body Small Right"/>
    <w:basedOn w:val="BodyTextRight"/>
    <w:rsid w:val="00CA027C"/>
    <w:rPr>
      <w:sz w:val="18"/>
      <w:szCs w:val="18"/>
    </w:rPr>
  </w:style>
  <w:style w:type="paragraph" w:customStyle="1" w:styleId="MarginEdition">
    <w:name w:val="Margin Edition"/>
    <w:basedOn w:val="MarginNote"/>
    <w:rsid w:val="00CA02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27C"/>
    <w:rPr>
      <w:sz w:val="2"/>
      <w:szCs w:val="2"/>
    </w:rPr>
  </w:style>
  <w:style w:type="character" w:customStyle="1" w:styleId="Small">
    <w:name w:val="Small"/>
    <w:basedOn w:val="DefaultParagraphFont"/>
    <w:rsid w:val="00CA027C"/>
    <w:rPr>
      <w:sz w:val="16"/>
    </w:rPr>
  </w:style>
  <w:style w:type="paragraph" w:customStyle="1" w:styleId="WideTable">
    <w:name w:val="Wide Table"/>
    <w:basedOn w:val="Normal"/>
    <w:rsid w:val="00CA02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27C"/>
  </w:style>
  <w:style w:type="paragraph" w:styleId="Quote">
    <w:name w:val="Quote"/>
    <w:basedOn w:val="Heading1"/>
    <w:link w:val="QuoteChar"/>
    <w:qFormat/>
    <w:rsid w:val="00CA02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2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27C"/>
    <w:pPr>
      <w:pageBreakBefore/>
    </w:pPr>
  </w:style>
  <w:style w:type="paragraph" w:customStyle="1" w:styleId="Border">
    <w:name w:val="Border"/>
    <w:basedOn w:val="Normal"/>
    <w:qFormat/>
    <w:rsid w:val="00CA02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2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2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2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2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2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2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2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2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27C"/>
    <w:rPr>
      <w:u w:val="single"/>
    </w:rPr>
  </w:style>
  <w:style w:type="character" w:customStyle="1" w:styleId="BoldandItalics">
    <w:name w:val="Bold and Italics"/>
    <w:qFormat/>
    <w:rsid w:val="00CA027C"/>
    <w:rPr>
      <w:b/>
      <w:i/>
      <w:u w:val="none"/>
    </w:rPr>
  </w:style>
  <w:style w:type="paragraph" w:styleId="BalloonText">
    <w:name w:val="Balloon Text"/>
    <w:basedOn w:val="Normal"/>
    <w:link w:val="BalloonTextChar"/>
    <w:rsid w:val="00CA0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2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2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2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2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2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27C"/>
    <w:pPr>
      <w:spacing w:before="0" w:after="0"/>
    </w:pPr>
  </w:style>
  <w:style w:type="paragraph" w:customStyle="1" w:styleId="BodyTextBold">
    <w:name w:val="Body Text Bold"/>
    <w:basedOn w:val="BodyText"/>
    <w:qFormat/>
    <w:rsid w:val="00CA027C"/>
    <w:rPr>
      <w:b/>
    </w:rPr>
  </w:style>
  <w:style w:type="character" w:styleId="Hyperlink">
    <w:name w:val="Hyperlink"/>
    <w:basedOn w:val="DefaultParagraphFont"/>
    <w:uiPriority w:val="99"/>
    <w:unhideWhenUsed/>
    <w:rsid w:val="00876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5850</Characters>
  <Application>Microsoft Office Word</Application>
  <DocSecurity>0</DocSecurity>
  <Lines>234</Lines>
  <Paragraphs>135</Paragraphs>
  <ScaleCrop>false</ScaleCrop>
  <Company>Author-it Software Corporation Ltd.</Company>
  <LinksUpToDate>false</LinksUpToDate>
  <CharactersWithSpaces>6630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DEFTST006 Analyse test data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2025-03-01T08:11:00Z</dcterms:created>
  <dcterms:modified xsi:type="dcterms:W3CDTF">2025-03-01T08:11:00Z</dcterms:modified>
</cp:coreProperties>
</file>