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9D3" w:rsidP="006F29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DEFTST004 Evaluate testing</w:t>
      </w:r>
      <w:r>
        <w:fldChar w:fldCharType="end"/>
      </w:r>
    </w:p>
    <w:p w:rsidR="006F29D3" w:rsidP="006F29D3">
      <w:pPr>
        <w:pStyle w:val="Version"/>
        <w:sectPr w:rsidSect="006302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02D1" w:rsidP="006302D1">
      <w:pPr>
        <w:pStyle w:val="SuperHeading"/>
      </w:pPr>
      <w:r w:rsidRPr="006302D1">
        <w:t>DEFTST004 Evaluate testing</w:t>
      </w:r>
    </w:p>
    <w:p w:rsidR="00000000" w:rsidRPr="006302D1" w:rsidP="006302D1">
      <w:pPr>
        <w:pStyle w:val="Heading1"/>
      </w:pPr>
      <w:bookmarkStart w:id="1" w:name="O_1241439"/>
      <w:bookmarkEnd w:id="1"/>
      <w:r w:rsidRPr="006302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Release 2. This is the second release of this unit of competency in the DEF Defence Training Package.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t xml:space="preserve">Release 1. This unit was released in DEF Defence Training Package Release 1.0 and meets the Standards for Training Packages. </w:t>
            </w:r>
          </w:p>
        </w:tc>
      </w:tr>
    </w:tbl>
    <w:p w:rsidR="00000000" w:rsidRPr="006302D1" w:rsidP="006302D1">
      <w:pPr>
        <w:pStyle w:val="NoPaddingFontSize1"/>
      </w:pPr>
    </w:p>
    <w:p w:rsidR="00000000" w:rsidRPr="006302D1" w:rsidP="006302D1">
      <w:pPr>
        <w:pStyle w:val="AllowPageBreak"/>
      </w:pPr>
    </w:p>
    <w:p w:rsidR="00000000" w:rsidRPr="006302D1" w:rsidP="006302D1">
      <w:pPr>
        <w:pStyle w:val="Heading1"/>
      </w:pPr>
      <w:bookmarkStart w:id="2" w:name="O_1241438"/>
      <w:bookmarkEnd w:id="2"/>
      <w:r w:rsidRPr="006302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t xml:space="preserve">This unit describes the skills and knowledge required to evaluate the results of a testing process. It involves analysing data and solving complex problems where the information may not be obvious but can be determined by direct </w:t>
            </w:r>
            <w:r w:rsidRPr="006302D1">
              <w:t xml:space="preserve">and logical reasoning. </w:t>
            </w:r>
          </w:p>
          <w:p w:rsidR="00000000" w:rsidRPr="006302D1" w:rsidP="006302D1">
            <w:pPr>
              <w:pStyle w:val="BodyText"/>
            </w:pPr>
            <w:r w:rsidRPr="006302D1">
              <w:t>This unit was developed for Defence test and evaluation workers but is applicable to any individuals who work in this field.</w:t>
            </w:r>
          </w:p>
          <w:p w:rsidR="00000000" w:rsidRPr="006302D1" w:rsidP="006302D1">
            <w:pPr>
              <w:pStyle w:val="BodyText"/>
            </w:pPr>
            <w:r w:rsidRPr="006302D1">
              <w:t>The skills and knowledge described in this unit must be applied within the legislative, regulatory and poli</w:t>
            </w:r>
            <w:r w:rsidRPr="006302D1">
              <w:t>cy environment in which they are carried out. Organisational policies and procedures must be consulted and adhered to.</w:t>
            </w:r>
          </w:p>
          <w:p w:rsidR="00000000" w:rsidRPr="006302D1" w:rsidP="006302D1">
            <w:pPr>
              <w:pStyle w:val="BodyText"/>
            </w:pPr>
            <w:r w:rsidRPr="006302D1">
              <w:t>Those undertaking this unit would work independently or as part of a team, under direct and indirect supervision, use discretion and judg</w:t>
            </w:r>
            <w:r w:rsidRPr="006302D1">
              <w:t>ement, and take responsibility for the quality of their output. They would perform complex tasks in a range of contexts.</w:t>
            </w:r>
          </w:p>
          <w:p w:rsidR="00000000" w:rsidRPr="006302D1" w:rsidP="006302D1">
            <w:pPr>
              <w:pStyle w:val="BodyText"/>
            </w:pPr>
            <w:r w:rsidRPr="006302D1">
              <w:t>No licensing, legislative or certification requirements apply to unit at the time of publication.</w:t>
            </w:r>
          </w:p>
        </w:tc>
      </w:tr>
    </w:tbl>
    <w:p w:rsidR="00000000" w:rsidRPr="006302D1" w:rsidP="006302D1">
      <w:pPr>
        <w:pStyle w:val="NoPaddingFontSize1"/>
      </w:pPr>
    </w:p>
    <w:p w:rsidR="00000000" w:rsidRPr="006302D1" w:rsidP="006302D1">
      <w:pPr>
        <w:pStyle w:val="AllowPageBreak"/>
      </w:pPr>
    </w:p>
    <w:p w:rsidR="00000000" w:rsidRPr="006302D1" w:rsidP="006302D1">
      <w:pPr>
        <w:pStyle w:val="Heading1"/>
      </w:pPr>
      <w:bookmarkStart w:id="3" w:name="O_1241442"/>
      <w:bookmarkEnd w:id="3"/>
      <w:r w:rsidRPr="006302D1">
        <w:t>Pre-requisite Un</w:t>
      </w:r>
      <w:r w:rsidRPr="006302D1">
        <w:t>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t>Not applicable.</w:t>
            </w:r>
          </w:p>
        </w:tc>
      </w:tr>
    </w:tbl>
    <w:p w:rsidR="00000000" w:rsidRPr="006302D1" w:rsidP="006302D1">
      <w:pPr>
        <w:pStyle w:val="NoPaddingFontSize1"/>
      </w:pPr>
    </w:p>
    <w:p w:rsidR="00000000" w:rsidRPr="006302D1" w:rsidP="006302D1">
      <w:pPr>
        <w:pStyle w:val="AllowPageBreak"/>
      </w:pPr>
    </w:p>
    <w:p w:rsidR="00000000" w:rsidRPr="006302D1" w:rsidP="006302D1">
      <w:pPr>
        <w:pStyle w:val="Heading1"/>
      </w:pPr>
      <w:bookmarkStart w:id="4" w:name="O_1241437"/>
      <w:bookmarkEnd w:id="4"/>
      <w:r w:rsidRPr="006302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t>Test and Evaluation.</w:t>
            </w:r>
          </w:p>
        </w:tc>
      </w:tr>
    </w:tbl>
    <w:p w:rsidR="00000000" w:rsidRPr="006302D1" w:rsidP="006302D1">
      <w:pPr>
        <w:pStyle w:val="NoPaddingFontSize1"/>
      </w:pPr>
    </w:p>
    <w:p w:rsidR="00000000" w:rsidRPr="006302D1" w:rsidP="006302D1">
      <w:pPr>
        <w:pStyle w:val="AllowPageBreak"/>
      </w:pPr>
    </w:p>
    <w:p w:rsidR="00000000" w:rsidRPr="006302D1" w:rsidP="006302D1">
      <w:pPr>
        <w:pStyle w:val="Heading1"/>
      </w:pPr>
      <w:bookmarkStart w:id="5" w:name="O_1241443"/>
      <w:bookmarkEnd w:id="5"/>
      <w:r w:rsidRPr="006302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t>Not applicable.</w:t>
            </w:r>
          </w:p>
        </w:tc>
      </w:tr>
    </w:tbl>
    <w:p w:rsidR="00000000" w:rsidRPr="006302D1" w:rsidP="006302D1">
      <w:pPr>
        <w:pStyle w:val="NoPaddingFontSize1"/>
      </w:pPr>
    </w:p>
    <w:p w:rsidR="00000000" w:rsidRPr="006302D1" w:rsidP="006302D1">
      <w:pPr>
        <w:pStyle w:val="AllowPageBreak"/>
      </w:pPr>
    </w:p>
    <w:p w:rsidR="00000000" w:rsidRPr="006302D1" w:rsidP="006302D1">
      <w:pPr>
        <w:pStyle w:val="Heading1"/>
      </w:pPr>
      <w:bookmarkStart w:id="6" w:name="O_1241436"/>
      <w:bookmarkEnd w:id="6"/>
      <w:r w:rsidRPr="006302D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4"/>
        <w:gridCol w:w="2415"/>
        <w:gridCol w:w="711"/>
        <w:gridCol w:w="5967"/>
      </w:tblGrid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rPr>
                <w:rStyle w:val="SpecialBold"/>
              </w:rPr>
              <w:t>ELEMENTS</w:t>
            </w:r>
          </w:p>
        </w:tc>
        <w:tc>
          <w:tcPr>
            <w:tcW w:w="66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rPr>
                <w:rStyle w:val="SpecialBold"/>
              </w:rPr>
              <w:t>PERFORMANCE CRITERIA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Elements describe the essential outcomes.</w:t>
            </w:r>
          </w:p>
        </w:tc>
        <w:tc>
          <w:tcPr>
            <w:tcW w:w="66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Performance criteria describe the performance needed to demonstrate achievement of the element.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rPr>
                <w:rStyle w:val="SpecialBold"/>
              </w:rPr>
              <w:t>1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rPr>
                <w:rStyle w:val="SpecialBold"/>
              </w:rPr>
              <w:t>Assemble testing evidence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rPr>
                <w:rStyle w:val="SpecialBold"/>
              </w:rPr>
              <w:t>1.1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Comply with test plan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>
            <w:pPr>
              <w:pStyle w:val="BodyText"/>
              <w:keepLines w:val="0"/>
              <w:spacing w:before="0" w:after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rPr>
                <w:rStyle w:val="SpecialBold"/>
              </w:rPr>
              <w:t>1.2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Identify and access testing evidence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>
            <w:pPr>
              <w:pStyle w:val="BodyText"/>
              <w:keepLines w:val="0"/>
              <w:spacing w:before="0" w:after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rPr>
                <w:rStyle w:val="SpecialBold"/>
              </w:rPr>
              <w:t>1.3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Determine evaluation criteria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>
            <w:pPr>
              <w:pStyle w:val="BodyText"/>
              <w:keepLines w:val="0"/>
              <w:spacing w:before="0" w:after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rPr>
                <w:rStyle w:val="SpecialBold"/>
              </w:rPr>
              <w:t>1.4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Access testing evidence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>
            <w:pPr>
              <w:pStyle w:val="BodyText"/>
              <w:keepLines w:val="0"/>
              <w:spacing w:before="0" w:after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rPr>
                <w:rStyle w:val="SpecialBold"/>
              </w:rPr>
              <w:t>1.5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Verify data relevance and accuracy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>
            <w:pPr>
              <w:pStyle w:val="BodyText"/>
              <w:keepLines w:val="0"/>
              <w:spacing w:before="0" w:after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rPr>
                <w:rStyle w:val="SpecialBold"/>
              </w:rPr>
              <w:t>1.6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Rectify data errors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rPr>
                <w:rStyle w:val="SpecialBold"/>
              </w:rPr>
              <w:t>2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rPr>
                <w:rStyle w:val="SpecialBold"/>
              </w:rPr>
              <w:t>Evaluate testing evidence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rPr>
                <w:rStyle w:val="SpecialBold"/>
              </w:rPr>
              <w:t>2.1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Assess evidence against estimations and expectations in accordance with evaluation criteria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>
            <w:pPr>
              <w:pStyle w:val="BodyText"/>
              <w:keepLines w:val="0"/>
              <w:spacing w:before="0" w:after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rPr>
                <w:rStyle w:val="SpecialBold"/>
              </w:rPr>
              <w:t>2.2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Identify trends in evidence and detail the significance of the trend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>
            <w:pPr>
              <w:pStyle w:val="BodyText"/>
              <w:keepLines w:val="0"/>
              <w:spacing w:before="0" w:after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rPr>
                <w:rStyle w:val="SpecialBold"/>
              </w:rPr>
              <w:t>2.3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Conduct data comparisons to determine the validity of outcomes in accordance with evaluation criteria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>
            <w:pPr>
              <w:pStyle w:val="BodyText"/>
              <w:keepLines w:val="0"/>
              <w:spacing w:before="0" w:after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rPr>
                <w:rStyle w:val="SpecialBold"/>
              </w:rPr>
              <w:t>2.4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Utilise management tools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>
            <w:pPr>
              <w:pStyle w:val="BodyText"/>
              <w:keepLines w:val="0"/>
              <w:spacing w:before="0" w:after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rPr>
                <w:rStyle w:val="SpecialBold"/>
              </w:rPr>
              <w:t>2.5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Determine test outcomes in conjunction with stakeholders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rPr>
                <w:rStyle w:val="SpecialBold"/>
              </w:rPr>
              <w:t>3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rPr>
                <w:rStyle w:val="SpecialBold"/>
              </w:rPr>
              <w:t>Record and report testing outcomes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rPr>
                <w:rStyle w:val="SpecialBold"/>
              </w:rPr>
              <w:t>3.1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Record test outcomes and reasons for them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>
            <w:pPr>
              <w:pStyle w:val="BodyText"/>
              <w:keepLines w:val="0"/>
              <w:spacing w:before="0" w:after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rPr>
                <w:rStyle w:val="SpecialBold"/>
              </w:rPr>
              <w:t>3.2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Maintain security and confidentiality of data in accordance with organisational policies and procedures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>
            <w:pPr>
              <w:pStyle w:val="BodyText"/>
              <w:keepLines w:val="0"/>
              <w:spacing w:before="0" w:after="0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rPr>
                <w:rStyle w:val="SpecialBold"/>
              </w:rPr>
              <w:t>3.3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t>Report results to relevant personnel and maintain records</w:t>
            </w:r>
          </w:p>
        </w:tc>
      </w:tr>
    </w:tbl>
    <w:p w:rsidR="00000000" w:rsidRPr="006302D1" w:rsidP="006302D1">
      <w:pPr>
        <w:pStyle w:val="NoPaddingFontSize1"/>
      </w:pPr>
    </w:p>
    <w:p w:rsidR="00000000" w:rsidRPr="006302D1" w:rsidP="006302D1">
      <w:pPr>
        <w:pStyle w:val="AllowPageBreak"/>
      </w:pPr>
    </w:p>
    <w:p w:rsidR="00000000" w:rsidRPr="006302D1" w:rsidP="006302D1">
      <w:pPr>
        <w:pStyle w:val="Heading1"/>
      </w:pPr>
      <w:bookmarkStart w:id="7" w:name="O_1241435"/>
      <w:bookmarkEnd w:id="7"/>
      <w:r w:rsidRPr="006302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t>Foundation skills essential to performance are explicit in the performance criteria of this unit of competency.</w:t>
            </w:r>
          </w:p>
        </w:tc>
      </w:tr>
    </w:tbl>
    <w:p w:rsidR="00000000" w:rsidRPr="006302D1" w:rsidP="006302D1">
      <w:pPr>
        <w:pStyle w:val="NoPaddingFontSize1"/>
      </w:pPr>
    </w:p>
    <w:p w:rsidR="00000000" w:rsidRPr="006302D1" w:rsidP="006302D1">
      <w:pPr>
        <w:pStyle w:val="AllowPageBreak"/>
      </w:pPr>
    </w:p>
    <w:p w:rsidR="00000000" w:rsidRPr="006302D1" w:rsidP="006302D1">
      <w:pPr>
        <w:pStyle w:val="Heading1"/>
      </w:pPr>
      <w:bookmarkStart w:id="8" w:name="O_1241444"/>
      <w:bookmarkEnd w:id="8"/>
      <w:r w:rsidRPr="006302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t>Range is restricted to essential operating conditions and any other variables essential to the work environment.</w:t>
            </w:r>
          </w:p>
          <w:p w:rsidR="00000000" w:rsidRPr="006302D1" w:rsidP="006302D1">
            <w:pPr>
              <w:pStyle w:val="BodyText"/>
            </w:pPr>
            <w:r w:rsidRPr="006302D1">
              <w:t>Non-essential conditions may be found in the DEF Defence Training Package Companion Volume Implementation Guide.</w:t>
            </w:r>
          </w:p>
        </w:tc>
      </w:tr>
    </w:tbl>
    <w:p w:rsidR="00000000" w:rsidRPr="006302D1" w:rsidP="006302D1">
      <w:pPr>
        <w:pStyle w:val="NoPaddingFontSize1"/>
      </w:pPr>
    </w:p>
    <w:p w:rsidR="00000000" w:rsidRPr="006302D1" w:rsidP="006302D1">
      <w:pPr>
        <w:pStyle w:val="AllowPageBreak"/>
      </w:pPr>
    </w:p>
    <w:p w:rsidR="00000000" w:rsidRPr="006302D1" w:rsidP="006302D1">
      <w:pPr>
        <w:pStyle w:val="Heading1"/>
      </w:pPr>
      <w:bookmarkStart w:id="9" w:name="O_1241434"/>
      <w:bookmarkEnd w:id="9"/>
      <w:r w:rsidRPr="006302D1">
        <w:t>Unit Mapp</w:t>
      </w:r>
      <w:r w:rsidRPr="006302D1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t>This unit replaces and is equivalent to DEFTE004A Evaluate testing.</w:t>
            </w:r>
          </w:p>
        </w:tc>
      </w:tr>
    </w:tbl>
    <w:p w:rsidR="006F29D3" w:rsidP="006302D1">
      <w:pPr>
        <w:pStyle w:val="NoPaddingFontSize1"/>
      </w:pPr>
    </w:p>
    <w:p w:rsidR="006F29D3" w:rsidP="006302D1">
      <w:pPr>
        <w:pStyle w:val="NoPaddingFontSize1"/>
      </w:pPr>
    </w:p>
    <w:p w:rsidR="00000000" w:rsidRPr="006302D1" w:rsidP="006302D1">
      <w:pPr>
        <w:pStyle w:val="Heading1"/>
      </w:pPr>
      <w:bookmarkStart w:id="10" w:name="O_1241440"/>
      <w:bookmarkEnd w:id="10"/>
      <w:r w:rsidRPr="006302D1">
        <w:t>Links</w:t>
      </w:r>
    </w:p>
    <w:p w:rsidR="00000000" w:rsidRPr="006302D1" w:rsidP="006F29D3">
      <w:pPr>
        <w:pStyle w:val="BodyText"/>
      </w:pPr>
      <w:r w:rsidRPr="006302D1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A6D4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302D1" w:rsidP="006F29D3">
      <w:pPr>
        <w:pStyle w:val="BodyText"/>
        <w:sectPr w:rsidSect="006302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02D1" w:rsidP="006302D1">
      <w:pPr>
        <w:pStyle w:val="SuperHeading"/>
      </w:pPr>
      <w:r w:rsidRPr="006302D1">
        <w:t>Assessment Requirements for DEFTST004 Evaluate testing</w:t>
      </w:r>
    </w:p>
    <w:p w:rsidR="00000000" w:rsidRPr="006302D1" w:rsidP="006302D1">
      <w:pPr>
        <w:pStyle w:val="Heading1"/>
      </w:pPr>
      <w:bookmarkStart w:id="11" w:name="O_1241432"/>
      <w:bookmarkEnd w:id="11"/>
      <w:r w:rsidRPr="006302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Release 2. This is the second release of this unit of competency in the DEF Defence Training Package.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t xml:space="preserve">Release 1. This unit was released in DEF Defence Training Package Release 1.0 and meets the Standards for Training Packages. </w:t>
            </w:r>
          </w:p>
        </w:tc>
      </w:tr>
    </w:tbl>
    <w:p w:rsidR="00000000" w:rsidRPr="006302D1" w:rsidP="006302D1">
      <w:pPr>
        <w:pStyle w:val="NoPaddingFontSize1"/>
      </w:pPr>
    </w:p>
    <w:p w:rsidR="00000000" w:rsidRPr="006302D1" w:rsidP="006302D1">
      <w:pPr>
        <w:pStyle w:val="AllowPageBreak"/>
      </w:pPr>
    </w:p>
    <w:p w:rsidR="00000000" w:rsidRPr="006302D1" w:rsidP="006302D1">
      <w:pPr>
        <w:pStyle w:val="Heading1"/>
      </w:pPr>
      <w:bookmarkStart w:id="12" w:name="O_1241431"/>
      <w:bookmarkEnd w:id="12"/>
      <w:r w:rsidRPr="006302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>Evidence required to demonstrate competence in this unit must be relevant to and satisfy</w:t>
            </w:r>
            <w:r w:rsidRPr="006302D1">
              <w:t xml:space="preserve"> all the requirements of the elements and performance criteria on at least one occasion and include: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ListBullet"/>
            </w:pPr>
            <w:r w:rsidRPr="006302D1">
              <w:t>analysing and evaluating test evidence</w:t>
            </w:r>
          </w:p>
          <w:p w:rsidR="00000000" w:rsidRPr="006302D1" w:rsidP="006302D1">
            <w:pPr>
              <w:pStyle w:val="ListBullet"/>
            </w:pPr>
            <w:r w:rsidRPr="006302D1">
              <w:t>detailing requirements, writing recommendations and monitoring plans requiring precision of expression</w:t>
            </w:r>
          </w:p>
          <w:p w:rsidR="00000000" w:rsidRPr="006302D1" w:rsidP="006302D1">
            <w:pPr>
              <w:pStyle w:val="ListBullet"/>
            </w:pPr>
            <w:r w:rsidRPr="006302D1">
              <w:t>using manag</w:t>
            </w:r>
            <w:r w:rsidRPr="006302D1">
              <w:t>ement tools suited to the conduct of testing processes.</w:t>
            </w:r>
          </w:p>
        </w:tc>
      </w:tr>
    </w:tbl>
    <w:p w:rsidR="00000000" w:rsidRPr="006302D1" w:rsidP="006302D1">
      <w:pPr>
        <w:pStyle w:val="NoPaddingFontSize1"/>
      </w:pPr>
    </w:p>
    <w:p w:rsidR="00000000" w:rsidRPr="006302D1" w:rsidP="006302D1">
      <w:pPr>
        <w:pStyle w:val="AllowPageBreak"/>
      </w:pPr>
    </w:p>
    <w:p w:rsidR="00000000" w:rsidRPr="006302D1" w:rsidP="006302D1">
      <w:pPr>
        <w:pStyle w:val="Heading1"/>
      </w:pPr>
      <w:bookmarkStart w:id="13" w:name="O_1241430"/>
      <w:bookmarkEnd w:id="13"/>
      <w:r w:rsidRPr="006302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D1">
            <w:pPr>
              <w:pStyle w:val="BodyText"/>
              <w:rPr>
                <w:lang w:val="en-NZ"/>
              </w:rPr>
            </w:pPr>
            <w:r w:rsidRPr="006302D1">
              <w:t xml:space="preserve">Evidence required to demonstrate competence in this unit must be relevant to and satisfy all the requirements of the elements and performance criteria and </w:t>
            </w:r>
            <w:r w:rsidRPr="006302D1">
              <w:t>include knowledge of:</w:t>
            </w:r>
          </w:p>
        </w:tc>
      </w:tr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ListBullet"/>
            </w:pPr>
            <w:r w:rsidRPr="006302D1">
              <w:t xml:space="preserve">legislation, organisational policies and procedures that may impact on the test and evaluation process </w:t>
            </w:r>
          </w:p>
          <w:p w:rsidR="00000000" w:rsidRPr="006302D1" w:rsidP="006302D1">
            <w:pPr>
              <w:pStyle w:val="ListBullet"/>
            </w:pPr>
            <w:r w:rsidRPr="006302D1">
              <w:t xml:space="preserve">management tools suited to the conduct of testing processes </w:t>
            </w:r>
          </w:p>
          <w:p w:rsidR="00000000" w:rsidRPr="006302D1" w:rsidP="006302D1">
            <w:pPr>
              <w:pStyle w:val="ListBullet"/>
            </w:pPr>
            <w:r w:rsidRPr="006302D1">
              <w:t xml:space="preserve">principles relating to the evaluation of testing processes </w:t>
            </w:r>
          </w:p>
          <w:p w:rsidR="00000000" w:rsidRPr="006302D1" w:rsidP="006302D1">
            <w:pPr>
              <w:pStyle w:val="ListBullet"/>
            </w:pPr>
            <w:r w:rsidRPr="006302D1">
              <w:t>test an</w:t>
            </w:r>
            <w:r w:rsidRPr="006302D1">
              <w:t>d evaluation processes which may be reasonably complex in terms of scope; degree of risk; environmental, political, cultural and social factors that apply; consequences of failure and degree of control.</w:t>
            </w:r>
          </w:p>
        </w:tc>
      </w:tr>
    </w:tbl>
    <w:p w:rsidR="00000000" w:rsidRPr="006302D1" w:rsidP="006302D1">
      <w:pPr>
        <w:pStyle w:val="NoPaddingFontSize1"/>
      </w:pPr>
    </w:p>
    <w:p w:rsidR="00000000" w:rsidRPr="006302D1" w:rsidP="006302D1">
      <w:pPr>
        <w:pStyle w:val="AllowPageBreak"/>
      </w:pPr>
    </w:p>
    <w:p w:rsidR="00000000" w:rsidRPr="006302D1" w:rsidP="006302D1">
      <w:pPr>
        <w:pStyle w:val="Heading1"/>
      </w:pPr>
      <w:bookmarkStart w:id="14" w:name="O_1241429"/>
      <w:bookmarkEnd w:id="14"/>
      <w:r w:rsidRPr="006302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0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D1" w:rsidP="006302D1">
            <w:pPr>
              <w:pStyle w:val="BodyText"/>
            </w:pPr>
            <w:r w:rsidRPr="006302D1">
              <w:t xml:space="preserve">Assessors must hold credentials specified within the Standards for Registered Training Organisations current at the time of assessment. </w:t>
            </w:r>
          </w:p>
          <w:p w:rsidR="00000000" w:rsidRPr="006302D1" w:rsidP="006302D1">
            <w:pPr>
              <w:pStyle w:val="BodyText"/>
            </w:pPr>
            <w:r w:rsidRPr="006302D1">
              <w:t>Assessment must satisfy the Principles of Assessment and Rules of Evidence and all regulatory requirements included wit</w:t>
            </w:r>
            <w:r w:rsidRPr="006302D1">
              <w:t>hin the Standards for Registered Training Organisations current at the time of assessment.</w:t>
            </w:r>
          </w:p>
          <w:p w:rsidR="00000000" w:rsidRPr="006302D1" w:rsidP="006302D1">
            <w:pPr>
              <w:pStyle w:val="BodyText"/>
            </w:pPr>
            <w:r w:rsidRPr="006302D1">
              <w:t>Assessment must occur in workplace operational situations where it is appropriate to do so; where this is not appropriate, assessment must occur in simulated workpla</w:t>
            </w:r>
            <w:r w:rsidRPr="006302D1">
              <w:t>ce operational situations that replicate workplace conditions.</w:t>
            </w:r>
          </w:p>
          <w:p w:rsidR="00000000" w:rsidRPr="006302D1" w:rsidP="006302D1">
            <w:pPr>
              <w:pStyle w:val="BodyText"/>
            </w:pPr>
            <w:r w:rsidRPr="006302D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302D1" w:rsidP="006302D1">
            <w:pPr>
              <w:pStyle w:val="BodyText"/>
            </w:pPr>
            <w:r w:rsidRPr="006302D1">
              <w:t xml:space="preserve">Resources for assessment </w:t>
            </w:r>
            <w:r w:rsidRPr="006302D1">
              <w:t>must include access to:</w:t>
            </w:r>
          </w:p>
          <w:p w:rsidR="00000000" w:rsidRPr="006302D1" w:rsidP="006302D1">
            <w:pPr>
              <w:pStyle w:val="ListBullet"/>
            </w:pPr>
            <w:r w:rsidRPr="006302D1">
              <w:t>a range of relevant exercises, case studies and/or simulations</w:t>
            </w:r>
          </w:p>
          <w:p w:rsidR="00000000" w:rsidRPr="006302D1" w:rsidP="006302D1">
            <w:pPr>
              <w:pStyle w:val="ListBullet"/>
            </w:pPr>
            <w:r w:rsidRPr="006302D1">
              <w:t>applicable documentation, including legislation, regulations, codes of practice, workplace procedures and operation manuals</w:t>
            </w:r>
          </w:p>
          <w:p w:rsidR="00000000" w:rsidRPr="006302D1" w:rsidP="006302D1">
            <w:pPr>
              <w:pStyle w:val="ListBullet"/>
            </w:pPr>
            <w:r w:rsidRPr="006302D1">
              <w:t>relevant and appropriate materials, tools, e</w:t>
            </w:r>
            <w:r w:rsidRPr="006302D1">
              <w:t>quipment and personal protective equipment (PPE) currently used in industry.</w:t>
            </w:r>
          </w:p>
        </w:tc>
      </w:tr>
    </w:tbl>
    <w:p w:rsidR="00000000" w:rsidRPr="006302D1" w:rsidP="006302D1">
      <w:pPr>
        <w:pStyle w:val="NoPaddingFontSize1"/>
      </w:pPr>
    </w:p>
    <w:p w:rsidR="00000000" w:rsidRPr="006302D1" w:rsidP="006302D1">
      <w:pPr>
        <w:pStyle w:val="AllowPageBreak"/>
      </w:pPr>
    </w:p>
    <w:p w:rsidR="00000000" w:rsidRPr="006302D1" w:rsidP="006302D1">
      <w:pPr>
        <w:pStyle w:val="Heading1"/>
      </w:pPr>
      <w:bookmarkStart w:id="15" w:name="O_1241441"/>
      <w:bookmarkEnd w:id="15"/>
      <w:r w:rsidRPr="006302D1">
        <w:t>Links</w:t>
      </w:r>
    </w:p>
    <w:p w:rsidR="00000000" w:rsidRPr="006302D1" w:rsidP="006F29D3">
      <w:pPr>
        <w:pStyle w:val="BodyText"/>
      </w:pPr>
      <w:r w:rsidRPr="006302D1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A6D4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302D1" w:rsidP="006302D1"/>
    <w:sectPr w:rsidSect="006302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D1" w:rsidRPr="006F29D3" w:rsidP="006F29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9D3" w:rsidP="006302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9D3" w:rsidP="006302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F29D3" w:rsidP="006302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D1" w:rsidP="006302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29D3">
      <w:t>Approved</w:t>
    </w:r>
    <w:r w:rsidR="006F29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29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29D3">
      <w:rPr>
        <w:noProof/>
      </w:rPr>
      <w:t>4</w:t>
    </w:r>
    <w:r>
      <w:rPr>
        <w:noProof/>
      </w:rPr>
      <w:fldChar w:fldCharType="end"/>
    </w:r>
  </w:p>
  <w:p w:rsidR="006302D1" w:rsidP="006302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29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29D3">
      <w:t>Public Skills Australia</w:t>
    </w:r>
    <w:r w:rsidR="006F29D3">
      <w:fldChar w:fldCharType="end"/>
    </w:r>
  </w:p>
  <w:p w:rsidR="006302D1" w:rsidP="006302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9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2D1" w:rsidRPr="006F29D3" w:rsidP="006F29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9D3" w:rsidRPr="002D2AF8" w:rsidP="006302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DEFTST004 Evaluate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29D3" w:rsidP="006302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D1" w:rsidRPr="002D2AF8" w:rsidP="006302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29D3">
      <w:t>DEFTST004 Evaluate testing</w:t>
    </w:r>
    <w:r w:rsidR="006F29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29D3">
      <w:rPr>
        <w:noProof/>
      </w:rPr>
      <w:t>2 March 2025</w:t>
    </w:r>
    <w:r>
      <w:fldChar w:fldCharType="end"/>
    </w:r>
  </w:p>
  <w:p w:rsidR="006302D1" w:rsidP="006302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C0C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08B2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2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2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2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2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2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2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2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2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2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2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2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2D1"/>
  </w:style>
  <w:style w:type="character" w:customStyle="1" w:styleId="Heading1Char">
    <w:name w:val="Heading 1 Char"/>
    <w:basedOn w:val="DefaultParagraphFont"/>
    <w:link w:val="Heading1"/>
    <w:rsid w:val="006302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2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2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02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2D1"/>
    <w:rPr>
      <w:b/>
      <w:spacing w:val="0"/>
    </w:rPr>
  </w:style>
  <w:style w:type="paragraph" w:customStyle="1" w:styleId="SuperHeading">
    <w:name w:val="SuperHeading"/>
    <w:basedOn w:val="Normal"/>
    <w:rsid w:val="006302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2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02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2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2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2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2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2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2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2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2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2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2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2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2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2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2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02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2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2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2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02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02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2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2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2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2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2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2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2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2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2D1"/>
    <w:rPr>
      <w:i/>
    </w:rPr>
  </w:style>
  <w:style w:type="paragraph" w:styleId="Caption">
    <w:name w:val="caption"/>
    <w:basedOn w:val="BodyText"/>
    <w:next w:val="Normal"/>
    <w:qFormat/>
    <w:rsid w:val="006302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2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2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2D1"/>
  </w:style>
  <w:style w:type="paragraph" w:styleId="TableofFigures">
    <w:name w:val="table of figures"/>
    <w:basedOn w:val="Normal"/>
    <w:next w:val="Normal"/>
    <w:semiHidden/>
    <w:rsid w:val="006302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2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02D1"/>
    <w:rPr>
      <w:rFonts w:ascii="Wingdings" w:hAnsi="Wingdings"/>
    </w:rPr>
  </w:style>
  <w:style w:type="paragraph" w:customStyle="1" w:styleId="TableHeading">
    <w:name w:val="Table Heading"/>
    <w:basedOn w:val="HeadingBase"/>
    <w:rsid w:val="006302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2D1"/>
    <w:rPr>
      <w:color w:val="0033CC"/>
      <w:u w:val="none"/>
    </w:rPr>
  </w:style>
  <w:style w:type="paragraph" w:customStyle="1" w:styleId="BodyTextRight">
    <w:name w:val="Body Text Right"/>
    <w:basedOn w:val="BodyText"/>
    <w:rsid w:val="006302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2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2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2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2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2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2D1"/>
    <w:rPr>
      <w:sz w:val="32"/>
    </w:rPr>
  </w:style>
  <w:style w:type="paragraph" w:customStyle="1" w:styleId="HeadingProcedure">
    <w:name w:val="Heading Procedure"/>
    <w:basedOn w:val="HeadingBase"/>
    <w:next w:val="Normal"/>
    <w:rsid w:val="006302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2D1"/>
    <w:pPr>
      <w:spacing w:before="60" w:after="60"/>
    </w:pPr>
  </w:style>
  <w:style w:type="paragraph" w:styleId="ListContinue">
    <w:name w:val="List Continue"/>
    <w:basedOn w:val="List"/>
    <w:rsid w:val="006302D1"/>
    <w:pPr>
      <w:ind w:firstLine="0"/>
    </w:pPr>
  </w:style>
  <w:style w:type="paragraph" w:customStyle="1" w:styleId="ListNote">
    <w:name w:val="List Note"/>
    <w:basedOn w:val="List"/>
    <w:rsid w:val="006302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2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2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2D1"/>
    <w:rPr>
      <w:rFonts w:ascii="Courier New" w:hAnsi="Courier New"/>
    </w:rPr>
  </w:style>
  <w:style w:type="paragraph" w:customStyle="1" w:styleId="NoteBullet">
    <w:name w:val="Note Bullet"/>
    <w:basedOn w:val="Note"/>
    <w:rsid w:val="006302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2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2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2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2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02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2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2D1"/>
    <w:rPr>
      <w:b/>
      <w:smallCaps/>
    </w:rPr>
  </w:style>
  <w:style w:type="paragraph" w:customStyle="1" w:styleId="TableListNumber">
    <w:name w:val="Table List Number"/>
    <w:basedOn w:val="ListNumber"/>
    <w:rsid w:val="006302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2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2D1"/>
    <w:pPr>
      <w:numPr>
        <w:numId w:val="8"/>
      </w:numPr>
    </w:pPr>
  </w:style>
  <w:style w:type="paragraph" w:customStyle="1" w:styleId="ListAlpha2">
    <w:name w:val="List Alpha 2"/>
    <w:basedOn w:val="List2"/>
    <w:rsid w:val="006302D1"/>
    <w:pPr>
      <w:numPr>
        <w:numId w:val="7"/>
      </w:numPr>
    </w:pPr>
  </w:style>
  <w:style w:type="paragraph" w:styleId="List2">
    <w:name w:val="List 2"/>
    <w:basedOn w:val="BodyText"/>
    <w:rsid w:val="006302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2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2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2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2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2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02D1"/>
    <w:pPr>
      <w:numPr>
        <w:numId w:val="3"/>
      </w:numPr>
    </w:pPr>
  </w:style>
  <w:style w:type="paragraph" w:styleId="ListContinue2">
    <w:name w:val="List Continue 2"/>
    <w:basedOn w:val="List2"/>
    <w:rsid w:val="006302D1"/>
    <w:pPr>
      <w:ind w:firstLine="0"/>
    </w:pPr>
  </w:style>
  <w:style w:type="paragraph" w:styleId="ListContinue3">
    <w:name w:val="List Continue 3"/>
    <w:basedOn w:val="List3"/>
    <w:rsid w:val="006302D1"/>
    <w:pPr>
      <w:ind w:left="1021" w:firstLine="0"/>
    </w:pPr>
  </w:style>
  <w:style w:type="paragraph" w:styleId="ListContinue4">
    <w:name w:val="List Continue 4"/>
    <w:basedOn w:val="List4"/>
    <w:rsid w:val="006302D1"/>
    <w:pPr>
      <w:ind w:firstLine="0"/>
    </w:pPr>
  </w:style>
  <w:style w:type="paragraph" w:styleId="ListContinue5">
    <w:name w:val="List Continue 5"/>
    <w:basedOn w:val="List5"/>
    <w:rsid w:val="006302D1"/>
    <w:pPr>
      <w:ind w:firstLine="0"/>
    </w:pPr>
  </w:style>
  <w:style w:type="paragraph" w:styleId="ListNumber3">
    <w:name w:val="List Number 3"/>
    <w:basedOn w:val="List3"/>
    <w:rsid w:val="006302D1"/>
    <w:pPr>
      <w:numPr>
        <w:numId w:val="4"/>
      </w:numPr>
    </w:pPr>
  </w:style>
  <w:style w:type="paragraph" w:styleId="ListNumber4">
    <w:name w:val="List Number 4"/>
    <w:basedOn w:val="List4"/>
    <w:rsid w:val="006302D1"/>
    <w:pPr>
      <w:numPr>
        <w:numId w:val="5"/>
      </w:numPr>
    </w:pPr>
  </w:style>
  <w:style w:type="paragraph" w:styleId="ListNumber5">
    <w:name w:val="List Number 5"/>
    <w:basedOn w:val="List5"/>
    <w:rsid w:val="006302D1"/>
    <w:pPr>
      <w:numPr>
        <w:numId w:val="6"/>
      </w:numPr>
    </w:pPr>
  </w:style>
  <w:style w:type="paragraph" w:styleId="BlockText">
    <w:name w:val="Block Text"/>
    <w:basedOn w:val="Normal"/>
    <w:rsid w:val="006302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2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2D1"/>
    <w:rPr>
      <w:sz w:val="16"/>
      <w:vertAlign w:val="superscript"/>
    </w:rPr>
  </w:style>
  <w:style w:type="character" w:customStyle="1" w:styleId="Symbols">
    <w:name w:val="Symbols"/>
    <w:basedOn w:val="DefaultParagraphFont"/>
    <w:rsid w:val="006302D1"/>
    <w:rPr>
      <w:rFonts w:ascii="Symbol" w:hAnsi="Symbol"/>
    </w:rPr>
  </w:style>
  <w:style w:type="character" w:customStyle="1" w:styleId="MenuOptions">
    <w:name w:val="Menu Options"/>
    <w:basedOn w:val="DefaultParagraphFont"/>
    <w:rsid w:val="006302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2D1"/>
    <w:rPr>
      <w:b/>
    </w:rPr>
  </w:style>
  <w:style w:type="character" w:customStyle="1" w:styleId="Underlined">
    <w:name w:val="Underlined"/>
    <w:basedOn w:val="DefaultParagraphFont"/>
    <w:rsid w:val="006302D1"/>
    <w:rPr>
      <w:u w:val="single"/>
    </w:rPr>
  </w:style>
  <w:style w:type="paragraph" w:customStyle="1" w:styleId="TableBodyTextRight">
    <w:name w:val="Table Body Text Right"/>
    <w:basedOn w:val="TableBodyText"/>
    <w:rsid w:val="006302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2D1"/>
    <w:rPr>
      <w:sz w:val="18"/>
    </w:rPr>
  </w:style>
  <w:style w:type="paragraph" w:customStyle="1" w:styleId="BodySmallRight">
    <w:name w:val="Body Small Right"/>
    <w:basedOn w:val="BodyTextRight"/>
    <w:rsid w:val="006302D1"/>
    <w:rPr>
      <w:sz w:val="18"/>
      <w:szCs w:val="18"/>
    </w:rPr>
  </w:style>
  <w:style w:type="paragraph" w:customStyle="1" w:styleId="MarginEdition">
    <w:name w:val="Margin Edition"/>
    <w:basedOn w:val="MarginNote"/>
    <w:rsid w:val="006302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2D1"/>
    <w:rPr>
      <w:sz w:val="2"/>
      <w:szCs w:val="2"/>
    </w:rPr>
  </w:style>
  <w:style w:type="character" w:customStyle="1" w:styleId="Small">
    <w:name w:val="Small"/>
    <w:basedOn w:val="DefaultParagraphFont"/>
    <w:rsid w:val="006302D1"/>
    <w:rPr>
      <w:sz w:val="16"/>
    </w:rPr>
  </w:style>
  <w:style w:type="paragraph" w:customStyle="1" w:styleId="WideTable">
    <w:name w:val="Wide Table"/>
    <w:basedOn w:val="Normal"/>
    <w:rsid w:val="006302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2D1"/>
  </w:style>
  <w:style w:type="paragraph" w:styleId="Quote">
    <w:name w:val="Quote"/>
    <w:basedOn w:val="Heading1"/>
    <w:link w:val="QuoteChar"/>
    <w:qFormat/>
    <w:rsid w:val="006302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2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2D1"/>
    <w:pPr>
      <w:pageBreakBefore/>
    </w:pPr>
  </w:style>
  <w:style w:type="paragraph" w:customStyle="1" w:styleId="Border">
    <w:name w:val="Border"/>
    <w:basedOn w:val="Normal"/>
    <w:qFormat/>
    <w:rsid w:val="006302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2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2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2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2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2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2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2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2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2D1"/>
    <w:rPr>
      <w:u w:val="single"/>
    </w:rPr>
  </w:style>
  <w:style w:type="character" w:customStyle="1" w:styleId="BoldandItalics">
    <w:name w:val="Bold and Italics"/>
    <w:qFormat/>
    <w:rsid w:val="006302D1"/>
    <w:rPr>
      <w:b/>
      <w:i/>
      <w:u w:val="none"/>
    </w:rPr>
  </w:style>
  <w:style w:type="paragraph" w:styleId="BalloonText">
    <w:name w:val="Balloon Text"/>
    <w:basedOn w:val="Normal"/>
    <w:link w:val="BalloonTextChar"/>
    <w:rsid w:val="006302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2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2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2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2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2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2D1"/>
    <w:pPr>
      <w:spacing w:before="0" w:after="0"/>
    </w:pPr>
  </w:style>
  <w:style w:type="paragraph" w:customStyle="1" w:styleId="BodyTextBold">
    <w:name w:val="Body Text Bold"/>
    <w:basedOn w:val="BodyText"/>
    <w:qFormat/>
    <w:rsid w:val="006302D1"/>
    <w:rPr>
      <w:b/>
    </w:rPr>
  </w:style>
  <w:style w:type="character" w:styleId="Hyperlink">
    <w:name w:val="Hyperlink"/>
    <w:basedOn w:val="DefaultParagraphFont"/>
    <w:uiPriority w:val="99"/>
    <w:unhideWhenUsed/>
    <w:rsid w:val="006F29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5216</Characters>
  <Application>Microsoft Office Word</Application>
  <DocSecurity>0</DocSecurity>
  <Lines>193</Lines>
  <Paragraphs>112</Paragraphs>
  <ScaleCrop>false</ScaleCrop>
  <Company>Author-it Software Corporation Ltd.</Company>
  <LinksUpToDate>false</LinksUpToDate>
  <CharactersWithSpaces>5945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DEFTST004 Evaluate testing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2025-03-01T21:10:00Z</dcterms:created>
  <dcterms:modified xsi:type="dcterms:W3CDTF">2025-03-01T21:10:00Z</dcterms:modified>
</cp:coreProperties>
</file>