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06CA7" w:rsidP="00306CA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DEFSIM020 Conduct simulator performance evaluation</w:t>
      </w:r>
      <w:r>
        <w:fldChar w:fldCharType="end"/>
      </w:r>
    </w:p>
    <w:p w:rsidR="00306CA7" w:rsidP="00306CA7">
      <w:pPr>
        <w:pStyle w:val="Version"/>
        <w:sectPr w:rsidSect="00571C7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71C7E" w:rsidP="00571C7E">
      <w:pPr>
        <w:pStyle w:val="SuperHeading"/>
      </w:pPr>
      <w:r w:rsidRPr="00571C7E">
        <w:t>DEFSIM020 Conduct simulator performance evaluation</w:t>
      </w:r>
    </w:p>
    <w:p w:rsidR="00000000" w:rsidRPr="00571C7E" w:rsidP="00571C7E">
      <w:pPr>
        <w:pStyle w:val="Heading1"/>
      </w:pPr>
      <w:bookmarkStart w:id="1" w:name="O_1147543"/>
      <w:bookmarkEnd w:id="1"/>
      <w:r w:rsidRPr="00571C7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1C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C7E" w:rsidP="00571C7E">
            <w:pPr>
              <w:pStyle w:val="BodyText"/>
            </w:pPr>
            <w:r w:rsidRPr="00571C7E">
              <w:t>Release 1. This is the first release of this unit of competency in the DEF Defence Training Package Release 4.0.</w:t>
            </w:r>
          </w:p>
        </w:tc>
      </w:tr>
    </w:tbl>
    <w:p w:rsidR="00000000" w:rsidRPr="00571C7E" w:rsidP="00571C7E">
      <w:pPr>
        <w:pStyle w:val="NoPaddingFontSize1"/>
      </w:pPr>
    </w:p>
    <w:p w:rsidR="00000000" w:rsidRPr="00571C7E" w:rsidP="00571C7E">
      <w:pPr>
        <w:pStyle w:val="AllowPageBreak"/>
      </w:pPr>
    </w:p>
    <w:p w:rsidR="00000000" w:rsidRPr="00571C7E" w:rsidP="00571C7E">
      <w:pPr>
        <w:pStyle w:val="Heading1"/>
      </w:pPr>
      <w:bookmarkStart w:id="2" w:name="O_1147544"/>
      <w:bookmarkEnd w:id="2"/>
      <w:r w:rsidRPr="00571C7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1C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C7E" w:rsidP="00571C7E">
            <w:pPr>
              <w:pStyle w:val="BodyText"/>
            </w:pPr>
            <w:r w:rsidRPr="00571C7E">
              <w:t>This unit describes the knowledge and skills required to evaluate the operationa</w:t>
            </w:r>
            <w:r w:rsidRPr="00571C7E">
              <w:t>l performance of components and/or elements of a simulator. This includes identifying the performance evaluation requirement, conducting the operational performance evaluation, analysing the results, and the documentation and certification processes. In th</w:t>
            </w:r>
            <w:r w:rsidRPr="00571C7E">
              <w:t>e context of this unit, simulators are used to replicate land, air, sea and undersea systems to facilitate training and development.</w:t>
            </w:r>
          </w:p>
          <w:p w:rsidR="00000000" w:rsidRPr="00571C7E" w:rsidP="00571C7E">
            <w:pPr>
              <w:pStyle w:val="BodyText"/>
            </w:pPr>
            <w:r w:rsidRPr="00571C7E">
              <w:t>The simulator components include the complete simulator, power and control systems, computers and peripheral hardware, imag</w:t>
            </w:r>
            <w:r w:rsidRPr="00571C7E">
              <w:t>e generator and visual display systems, motion and control systems, sound systems and weapons systems.</w:t>
            </w:r>
          </w:p>
          <w:p w:rsidR="00000000" w:rsidRPr="00571C7E" w:rsidP="00571C7E">
            <w:pPr>
              <w:pStyle w:val="BodyText"/>
            </w:pPr>
            <w:r w:rsidRPr="00571C7E">
              <w:t>The simulator elements include subjective tests and credit sequences which affect the operational performance of the simulator.</w:t>
            </w:r>
          </w:p>
          <w:p w:rsidR="00000000" w:rsidRPr="00571C7E" w:rsidP="00571C7E">
            <w:pPr>
              <w:pStyle w:val="BodyText"/>
            </w:pPr>
            <w:r w:rsidRPr="00571C7E">
              <w:t>The outcomes of the perfo</w:t>
            </w:r>
            <w:r w:rsidRPr="00571C7E">
              <w:t>rmance evaluation include immediate fault finding and repair, scheduling the simulator for routine maintenance or calibration of simulator systems.</w:t>
            </w:r>
          </w:p>
          <w:p w:rsidR="00000000" w:rsidRPr="00571C7E" w:rsidP="00571C7E">
            <w:pPr>
              <w:pStyle w:val="BodyText"/>
            </w:pPr>
            <w:r w:rsidRPr="00571C7E">
              <w:t>The skills and knowledge described in this unit must be applied within the legislative, regulatory and polic</w:t>
            </w:r>
            <w:r w:rsidRPr="00571C7E">
              <w:t>y environment in which they are carried out. Organisational policies and procedures must be consulted and adhered to.</w:t>
            </w:r>
          </w:p>
          <w:p w:rsidR="00000000" w:rsidRPr="00571C7E" w:rsidP="00571C7E">
            <w:pPr>
              <w:pStyle w:val="BodyText"/>
            </w:pPr>
            <w:r w:rsidRPr="00571C7E">
              <w:t>Those undertaking this unit would work independently, or as part of a team, with minimal supervision, while performing complex tasks, incl</w:t>
            </w:r>
            <w:r w:rsidRPr="00571C7E">
              <w:t>uding complex problem solving, in a limited range of contexts. They would use discretion and judgement and take responsibility for the quality of their outputs.</w:t>
            </w:r>
          </w:p>
          <w:p w:rsidR="00000000" w:rsidRPr="00571C7E" w:rsidP="00571C7E">
            <w:pPr>
              <w:pStyle w:val="BodyText"/>
            </w:pPr>
            <w:r w:rsidRPr="00571C7E">
              <w:t>No licensing, legislative or certification requirements apply to this unit at the time of publi</w:t>
            </w:r>
            <w:r w:rsidRPr="00571C7E">
              <w:t>cation.</w:t>
            </w:r>
          </w:p>
        </w:tc>
      </w:tr>
    </w:tbl>
    <w:p w:rsidR="00000000" w:rsidRPr="00571C7E" w:rsidP="00571C7E">
      <w:pPr>
        <w:pStyle w:val="NoPaddingFontSize1"/>
      </w:pPr>
    </w:p>
    <w:p w:rsidR="00000000" w:rsidRPr="00571C7E" w:rsidP="00571C7E">
      <w:pPr>
        <w:pStyle w:val="AllowPageBreak"/>
      </w:pPr>
    </w:p>
    <w:p w:rsidR="00000000" w:rsidRPr="00571C7E" w:rsidP="00571C7E">
      <w:pPr>
        <w:pStyle w:val="Heading1"/>
      </w:pPr>
      <w:bookmarkStart w:id="3" w:name="O_1147545"/>
      <w:bookmarkEnd w:id="3"/>
      <w:r w:rsidRPr="00571C7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1C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C7E" w:rsidP="00571C7E">
            <w:pPr>
              <w:pStyle w:val="BodyText"/>
            </w:pPr>
            <w:r w:rsidRPr="00571C7E">
              <w:t>Not applicable.</w:t>
            </w:r>
          </w:p>
        </w:tc>
      </w:tr>
    </w:tbl>
    <w:p w:rsidR="00000000" w:rsidRPr="00571C7E" w:rsidP="00571C7E">
      <w:pPr>
        <w:pStyle w:val="NoPaddingFontSize1"/>
      </w:pPr>
    </w:p>
    <w:p w:rsidR="00000000" w:rsidRPr="00571C7E" w:rsidP="00571C7E">
      <w:pPr>
        <w:pStyle w:val="AllowPageBreak"/>
      </w:pPr>
    </w:p>
    <w:p w:rsidR="00000000" w:rsidRPr="00571C7E" w:rsidP="00571C7E">
      <w:pPr>
        <w:pStyle w:val="Heading1"/>
      </w:pPr>
      <w:bookmarkStart w:id="4" w:name="O_1147546"/>
      <w:bookmarkEnd w:id="4"/>
      <w:r w:rsidRPr="00571C7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1C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C7E" w:rsidP="00571C7E">
            <w:pPr>
              <w:pStyle w:val="BodyText"/>
            </w:pPr>
            <w:r w:rsidRPr="00571C7E">
              <w:t>Simulator Operations</w:t>
            </w:r>
          </w:p>
        </w:tc>
      </w:tr>
    </w:tbl>
    <w:p w:rsidR="00000000" w:rsidRPr="00571C7E" w:rsidP="00571C7E">
      <w:pPr>
        <w:pStyle w:val="NoPaddingFontSize1"/>
      </w:pPr>
    </w:p>
    <w:p w:rsidR="00000000" w:rsidRPr="00571C7E" w:rsidP="00571C7E">
      <w:pPr>
        <w:pStyle w:val="AllowPageBreak"/>
      </w:pPr>
    </w:p>
    <w:p w:rsidR="00000000" w:rsidRPr="00571C7E" w:rsidP="00571C7E">
      <w:pPr>
        <w:pStyle w:val="Heading1"/>
      </w:pPr>
      <w:bookmarkStart w:id="5" w:name="O_1147547"/>
      <w:bookmarkEnd w:id="5"/>
      <w:r w:rsidRPr="00571C7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1C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C7E" w:rsidP="00571C7E">
            <w:pPr>
              <w:pStyle w:val="BodyText"/>
            </w:pPr>
            <w:r w:rsidRPr="00571C7E">
              <w:t>Not applicable.</w:t>
            </w:r>
          </w:p>
        </w:tc>
      </w:tr>
    </w:tbl>
    <w:p w:rsidR="00000000" w:rsidRPr="00571C7E" w:rsidP="00571C7E">
      <w:pPr>
        <w:pStyle w:val="NoPaddingFontSize1"/>
      </w:pPr>
    </w:p>
    <w:p w:rsidR="00000000" w:rsidRPr="00571C7E" w:rsidP="00571C7E">
      <w:pPr>
        <w:pStyle w:val="AllowPageBreak"/>
      </w:pPr>
    </w:p>
    <w:p w:rsidR="00000000" w:rsidRPr="00571C7E" w:rsidP="00571C7E">
      <w:pPr>
        <w:pStyle w:val="Heading1"/>
      </w:pPr>
      <w:bookmarkStart w:id="6" w:name="O_1147548"/>
      <w:bookmarkEnd w:id="6"/>
      <w:r w:rsidRPr="00571C7E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571C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C7E" w:rsidP="00571C7E">
            <w:pPr>
              <w:pStyle w:val="BodyText"/>
            </w:pPr>
            <w:r w:rsidRPr="00571C7E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C7E">
            <w:pPr>
              <w:pStyle w:val="BodyText"/>
              <w:rPr>
                <w:lang w:val="en-NZ"/>
              </w:rPr>
            </w:pPr>
            <w:r w:rsidRPr="00571C7E">
              <w:rPr>
                <w:rStyle w:val="SpecialBold"/>
              </w:rPr>
              <w:t>PERFORMANCE CRITERIA</w:t>
            </w:r>
          </w:p>
        </w:tc>
      </w:tr>
      <w:tr w:rsidTr="00571C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C7E">
            <w:pPr>
              <w:pStyle w:val="BodyText"/>
              <w:rPr>
                <w:lang w:val="en-NZ"/>
              </w:rPr>
            </w:pPr>
            <w:r w:rsidRPr="00571C7E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C7E">
            <w:pPr>
              <w:pStyle w:val="BodyText"/>
              <w:rPr>
                <w:lang w:val="en-NZ"/>
              </w:rPr>
            </w:pPr>
            <w:r w:rsidRPr="00571C7E">
              <w:t>Performance criteria describe the performance needed to demonstrate achievement of the element.</w:t>
            </w:r>
          </w:p>
        </w:tc>
      </w:tr>
      <w:tr w:rsidTr="00571C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C7E" w:rsidP="00571C7E">
            <w:pPr>
              <w:pStyle w:val="BodyText"/>
            </w:pPr>
            <w:r w:rsidRPr="00571C7E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C7E" w:rsidP="00571C7E">
            <w:pPr>
              <w:pStyle w:val="BodyText"/>
            </w:pPr>
            <w:r w:rsidRPr="00571C7E">
              <w:rPr>
                <w:rStyle w:val="SpecialBold"/>
              </w:rPr>
              <w:t>Identify evaluation requirement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C7E">
            <w:pPr>
              <w:pStyle w:val="BodyText"/>
              <w:rPr>
                <w:lang w:val="en-NZ"/>
              </w:rPr>
            </w:pPr>
            <w:r w:rsidRPr="00571C7E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C7E">
            <w:pPr>
              <w:pStyle w:val="BodyText"/>
              <w:rPr>
                <w:lang w:val="en-NZ"/>
              </w:rPr>
            </w:pPr>
            <w:r w:rsidRPr="00571C7E">
              <w:t>Identify the type of simulator evaluation to be undertaken</w:t>
            </w:r>
          </w:p>
        </w:tc>
      </w:tr>
      <w:tr w:rsidTr="00571C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C7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C7E">
            <w:pPr>
              <w:pStyle w:val="BodyText"/>
              <w:rPr>
                <w:lang w:val="en-NZ"/>
              </w:rPr>
            </w:pPr>
            <w:r w:rsidRPr="00571C7E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C7E">
            <w:pPr>
              <w:pStyle w:val="BodyText"/>
              <w:rPr>
                <w:lang w:val="en-NZ"/>
              </w:rPr>
            </w:pPr>
            <w:r w:rsidRPr="00571C7E">
              <w:t>Identify the components and/or elements to be evaluated</w:t>
            </w:r>
          </w:p>
        </w:tc>
      </w:tr>
      <w:tr w:rsidTr="00571C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C7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C7E">
            <w:pPr>
              <w:pStyle w:val="BodyText"/>
              <w:rPr>
                <w:lang w:val="en-NZ"/>
              </w:rPr>
            </w:pPr>
            <w:r w:rsidRPr="00571C7E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C7E">
            <w:pPr>
              <w:pStyle w:val="BodyText"/>
              <w:rPr>
                <w:lang w:val="en-NZ"/>
              </w:rPr>
            </w:pPr>
            <w:r w:rsidRPr="00571C7E">
              <w:t>Identify evaluation parameters to be met</w:t>
            </w:r>
          </w:p>
        </w:tc>
      </w:tr>
      <w:tr w:rsidTr="00571C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C7E" w:rsidP="00571C7E">
            <w:pPr>
              <w:pStyle w:val="BodyText"/>
            </w:pPr>
            <w:r w:rsidRPr="00571C7E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C7E" w:rsidP="00571C7E">
            <w:pPr>
              <w:pStyle w:val="BodyText"/>
            </w:pPr>
            <w:r w:rsidRPr="00571C7E">
              <w:rPr>
                <w:rStyle w:val="SpecialBold"/>
              </w:rPr>
              <w:t>Undertake performance evaluation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C7E">
            <w:pPr>
              <w:pStyle w:val="BodyText"/>
              <w:rPr>
                <w:lang w:val="en-NZ"/>
              </w:rPr>
            </w:pPr>
            <w:r w:rsidRPr="00571C7E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C7E">
            <w:pPr>
              <w:pStyle w:val="BodyText"/>
              <w:rPr>
                <w:lang w:val="en-NZ"/>
              </w:rPr>
            </w:pPr>
            <w:r w:rsidRPr="00571C7E">
              <w:t>Prepare simulator for performance evaluation</w:t>
            </w:r>
          </w:p>
        </w:tc>
      </w:tr>
      <w:tr w:rsidTr="00571C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C7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C7E">
            <w:pPr>
              <w:pStyle w:val="BodyText"/>
              <w:rPr>
                <w:lang w:val="en-NZ"/>
              </w:rPr>
            </w:pPr>
            <w:r w:rsidRPr="00571C7E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C7E">
            <w:pPr>
              <w:pStyle w:val="BodyText"/>
              <w:rPr>
                <w:lang w:val="en-NZ"/>
              </w:rPr>
            </w:pPr>
            <w:r w:rsidRPr="00571C7E">
              <w:t>Conduct performance evaluation</w:t>
            </w:r>
          </w:p>
        </w:tc>
      </w:tr>
      <w:tr w:rsidTr="00571C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C7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C7E">
            <w:pPr>
              <w:pStyle w:val="BodyText"/>
              <w:rPr>
                <w:lang w:val="en-NZ"/>
              </w:rPr>
            </w:pPr>
            <w:r w:rsidRPr="00571C7E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C7E">
            <w:pPr>
              <w:pStyle w:val="BodyText"/>
              <w:rPr>
                <w:lang w:val="en-NZ"/>
              </w:rPr>
            </w:pPr>
            <w:r w:rsidRPr="00571C7E">
              <w:t>Collect and collate evaluation data</w:t>
            </w:r>
          </w:p>
        </w:tc>
      </w:tr>
      <w:tr w:rsidTr="00571C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C7E" w:rsidP="00571C7E">
            <w:pPr>
              <w:pStyle w:val="BodyText"/>
            </w:pPr>
            <w:r w:rsidRPr="00571C7E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C7E" w:rsidP="00571C7E">
            <w:pPr>
              <w:pStyle w:val="BodyText"/>
            </w:pPr>
            <w:r w:rsidRPr="00571C7E">
              <w:rPr>
                <w:rStyle w:val="SpecialBold"/>
              </w:rPr>
              <w:t>Analyse performance results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C7E">
            <w:pPr>
              <w:pStyle w:val="BodyText"/>
              <w:rPr>
                <w:lang w:val="en-NZ"/>
              </w:rPr>
            </w:pPr>
            <w:r w:rsidRPr="00571C7E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C7E">
            <w:pPr>
              <w:pStyle w:val="BodyText"/>
              <w:rPr>
                <w:lang w:val="en-NZ"/>
              </w:rPr>
            </w:pPr>
            <w:r w:rsidRPr="00571C7E">
              <w:t>Conduct analysis of performance data</w:t>
            </w:r>
          </w:p>
        </w:tc>
      </w:tr>
      <w:tr w:rsidTr="00571C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C7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C7E">
            <w:pPr>
              <w:pStyle w:val="BodyText"/>
              <w:rPr>
                <w:lang w:val="en-NZ"/>
              </w:rPr>
            </w:pPr>
            <w:r w:rsidRPr="00571C7E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C7E">
            <w:pPr>
              <w:pStyle w:val="BodyText"/>
              <w:rPr>
                <w:lang w:val="en-NZ"/>
              </w:rPr>
            </w:pPr>
            <w:r w:rsidRPr="00571C7E">
              <w:t>Identify performance abnormalities</w:t>
            </w:r>
          </w:p>
        </w:tc>
      </w:tr>
      <w:tr w:rsidTr="00571C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C7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C7E">
            <w:pPr>
              <w:pStyle w:val="BodyText"/>
              <w:rPr>
                <w:lang w:val="en-NZ"/>
              </w:rPr>
            </w:pPr>
            <w:r w:rsidRPr="00571C7E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C7E">
            <w:pPr>
              <w:pStyle w:val="BodyText"/>
              <w:rPr>
                <w:lang w:val="en-NZ"/>
              </w:rPr>
            </w:pPr>
            <w:r w:rsidRPr="00571C7E">
              <w:t>Identify cause of performance variations</w:t>
            </w:r>
          </w:p>
        </w:tc>
      </w:tr>
      <w:tr w:rsidTr="00571C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C7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C7E">
            <w:pPr>
              <w:pStyle w:val="BodyText"/>
              <w:rPr>
                <w:lang w:val="en-NZ"/>
              </w:rPr>
            </w:pPr>
            <w:r w:rsidRPr="00571C7E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C7E">
            <w:pPr>
              <w:pStyle w:val="BodyText"/>
              <w:rPr>
                <w:lang w:val="en-NZ"/>
              </w:rPr>
            </w:pPr>
            <w:r w:rsidRPr="00571C7E">
              <w:t>Determine remedial action if necessary</w:t>
            </w:r>
          </w:p>
        </w:tc>
      </w:tr>
      <w:tr w:rsidTr="00571C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C7E" w:rsidP="00571C7E">
            <w:pPr>
              <w:pStyle w:val="BodyText"/>
            </w:pPr>
            <w:r w:rsidRPr="00571C7E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C7E" w:rsidP="00571C7E">
            <w:pPr>
              <w:pStyle w:val="BodyText"/>
            </w:pPr>
            <w:r w:rsidRPr="00571C7E">
              <w:rPr>
                <w:rStyle w:val="SpecialBold"/>
              </w:rPr>
              <w:t>Finalise performance evaluation process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C7E">
            <w:pPr>
              <w:pStyle w:val="BodyText"/>
              <w:rPr>
                <w:lang w:val="en-NZ"/>
              </w:rPr>
            </w:pPr>
            <w:r w:rsidRPr="00571C7E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C7E">
            <w:pPr>
              <w:pStyle w:val="BodyText"/>
              <w:rPr>
                <w:lang w:val="en-NZ"/>
              </w:rPr>
            </w:pPr>
            <w:r w:rsidRPr="00571C7E">
              <w:t xml:space="preserve">Report abnormalities as required </w:t>
            </w:r>
          </w:p>
        </w:tc>
      </w:tr>
      <w:tr w:rsidTr="00571C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C7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C7E">
            <w:pPr>
              <w:pStyle w:val="BodyText"/>
              <w:rPr>
                <w:lang w:val="en-NZ"/>
              </w:rPr>
            </w:pPr>
            <w:r w:rsidRPr="00571C7E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C7E" w:rsidP="00571C7E">
            <w:pPr>
              <w:pStyle w:val="BodyText"/>
            </w:pPr>
            <w:r w:rsidRPr="00571C7E">
              <w:t>Complete documentation for future application according to organisational standards</w:t>
            </w:r>
          </w:p>
        </w:tc>
      </w:tr>
    </w:tbl>
    <w:p w:rsidR="00000000" w:rsidRPr="00571C7E" w:rsidP="00571C7E">
      <w:pPr>
        <w:pStyle w:val="NoPaddingFontSize1"/>
      </w:pPr>
    </w:p>
    <w:p w:rsidR="00000000" w:rsidRPr="00571C7E" w:rsidP="00571C7E">
      <w:pPr>
        <w:pStyle w:val="AllowPageBreak"/>
      </w:pPr>
    </w:p>
    <w:p w:rsidR="00000000" w:rsidRPr="00571C7E" w:rsidP="00571C7E">
      <w:pPr>
        <w:pStyle w:val="Heading1"/>
      </w:pPr>
      <w:bookmarkStart w:id="7" w:name="O_1147549"/>
      <w:bookmarkEnd w:id="7"/>
      <w:r w:rsidRPr="00571C7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1C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C7E" w:rsidP="00571C7E">
            <w:pPr>
              <w:pStyle w:val="BodyText"/>
            </w:pPr>
            <w:r w:rsidRPr="00571C7E">
              <w:t>Foundation skills essential to performance are explicit in the performance criteria of this unit of competency.</w:t>
            </w:r>
          </w:p>
        </w:tc>
      </w:tr>
    </w:tbl>
    <w:p w:rsidR="00000000" w:rsidRPr="00571C7E" w:rsidP="00571C7E">
      <w:pPr>
        <w:pStyle w:val="NoPaddingFontSize1"/>
      </w:pPr>
    </w:p>
    <w:p w:rsidR="00000000" w:rsidRPr="00571C7E" w:rsidP="00571C7E">
      <w:pPr>
        <w:pStyle w:val="AllowPageBreak"/>
      </w:pPr>
    </w:p>
    <w:p w:rsidR="00000000" w:rsidRPr="00571C7E" w:rsidP="00571C7E">
      <w:pPr>
        <w:pStyle w:val="Heading1"/>
      </w:pPr>
      <w:bookmarkStart w:id="8" w:name="O_1147550"/>
      <w:bookmarkEnd w:id="8"/>
      <w:r w:rsidRPr="00571C7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1C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C7E" w:rsidP="00571C7E">
            <w:pPr>
              <w:pStyle w:val="BodyText"/>
            </w:pPr>
            <w:r w:rsidRPr="00571C7E">
              <w:t>Range is restricted to essential operating conditions and any other variables essential to the work env</w:t>
            </w:r>
            <w:r w:rsidRPr="00571C7E">
              <w:t>ironment.</w:t>
            </w:r>
          </w:p>
          <w:p w:rsidR="00000000" w:rsidRPr="00571C7E" w:rsidP="00571C7E">
            <w:pPr>
              <w:pStyle w:val="BodyText"/>
            </w:pPr>
            <w:r w:rsidRPr="00571C7E">
              <w:t>Non-essential conditions may be found in the Companion Volume Implementation Guide.</w:t>
            </w:r>
          </w:p>
        </w:tc>
      </w:tr>
    </w:tbl>
    <w:p w:rsidR="00000000" w:rsidRPr="00571C7E" w:rsidP="00571C7E">
      <w:pPr>
        <w:pStyle w:val="NoPaddingFontSize1"/>
      </w:pPr>
    </w:p>
    <w:p w:rsidR="00000000" w:rsidRPr="00571C7E" w:rsidP="00571C7E">
      <w:pPr>
        <w:pStyle w:val="AllowPageBreak"/>
      </w:pPr>
    </w:p>
    <w:p w:rsidR="00000000" w:rsidRPr="00571C7E" w:rsidP="00571C7E">
      <w:pPr>
        <w:pStyle w:val="Heading1"/>
      </w:pPr>
      <w:bookmarkStart w:id="9" w:name="O_1147551"/>
      <w:bookmarkEnd w:id="9"/>
      <w:r w:rsidRPr="00571C7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1C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C7E" w:rsidP="00571C7E">
            <w:pPr>
              <w:pStyle w:val="BodyText"/>
            </w:pPr>
            <w:r w:rsidRPr="00571C7E">
              <w:t>This unit replaces and is equivalent to DEFSIM007 Conduct simulator performance evaluation</w:t>
            </w:r>
          </w:p>
        </w:tc>
      </w:tr>
    </w:tbl>
    <w:p w:rsidR="00000000" w:rsidRPr="00571C7E" w:rsidP="00571C7E">
      <w:pPr>
        <w:pStyle w:val="NoPaddingFontSize1"/>
      </w:pPr>
    </w:p>
    <w:p w:rsidR="00000000" w:rsidRPr="00571C7E" w:rsidP="00571C7E">
      <w:pPr>
        <w:pStyle w:val="AllowPageBreak"/>
      </w:pPr>
    </w:p>
    <w:p w:rsidR="00000000" w:rsidRPr="00571C7E" w:rsidP="00571C7E">
      <w:pPr>
        <w:pStyle w:val="Heading1"/>
      </w:pPr>
      <w:bookmarkStart w:id="10" w:name="O_1147558"/>
      <w:bookmarkEnd w:id="10"/>
      <w:r w:rsidRPr="00571C7E">
        <w:t>Links</w:t>
      </w:r>
    </w:p>
    <w:p w:rsidR="00000000" w:rsidRPr="00571C7E" w:rsidP="00306CA7">
      <w:pPr>
        <w:pStyle w:val="BodyText"/>
      </w:pPr>
      <w:r w:rsidRPr="00571C7E">
        <w:t xml:space="preserve">Companion Volume Implementation Guides are found on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6E1457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571C7E" w:rsidP="00571C7E"/>
    <w:sectPr w:rsidSect="00571C7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C7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C7E" w:rsidRPr="00306CA7" w:rsidP="00306CA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C7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CA7" w:rsidP="00571C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06CA7" w:rsidP="00571C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306CA7" w:rsidP="00571C7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C7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CA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71C7E" w:rsidRPr="00306CA7" w:rsidP="00306CA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C7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CA7" w:rsidRPr="002D2AF8" w:rsidP="00571C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DEFSIM020 Conduct simulator performance evaluation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306CA7" w:rsidP="00571C7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1C7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71C7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71C7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71C7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71C7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71C7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71C7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71C7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71C7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71C7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71C7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71C7E"/>
  </w:style>
  <w:style w:type="character" w:customStyle="1" w:styleId="Heading1Char">
    <w:name w:val="Heading 1 Char"/>
    <w:basedOn w:val="DefaultParagraphFont"/>
    <w:link w:val="Heading1"/>
    <w:rsid w:val="00571C7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71C7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71C7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71C7E"/>
    <w:rPr>
      <w:b/>
      <w:spacing w:val="0"/>
    </w:rPr>
  </w:style>
  <w:style w:type="paragraph" w:customStyle="1" w:styleId="SuperHeading">
    <w:name w:val="SuperHeading"/>
    <w:basedOn w:val="Normal"/>
    <w:rsid w:val="00571C7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71C7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71C7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71C7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71C7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71C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71C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71C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71C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71C7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71C7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71C7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71C7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71C7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71C7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71C7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71C7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71C7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71C7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71C7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71C7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71C7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71C7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71C7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71C7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71C7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71C7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71C7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71C7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71C7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71C7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71C7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71C7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71C7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71C7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71C7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71C7E"/>
    <w:rPr>
      <w:i/>
    </w:rPr>
  </w:style>
  <w:style w:type="paragraph" w:styleId="Caption">
    <w:name w:val="caption"/>
    <w:basedOn w:val="BodyText"/>
    <w:next w:val="Normal"/>
    <w:qFormat/>
    <w:rsid w:val="00571C7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71C7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71C7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71C7E"/>
  </w:style>
  <w:style w:type="paragraph" w:styleId="TableofFigures">
    <w:name w:val="table of figures"/>
    <w:basedOn w:val="Normal"/>
    <w:next w:val="Normal"/>
    <w:semiHidden/>
    <w:rsid w:val="00571C7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71C7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71C7E"/>
    <w:rPr>
      <w:rFonts w:ascii="Wingdings" w:hAnsi="Wingdings"/>
    </w:rPr>
  </w:style>
  <w:style w:type="paragraph" w:customStyle="1" w:styleId="TableHeading">
    <w:name w:val="Table Heading"/>
    <w:basedOn w:val="HeadingBase"/>
    <w:rsid w:val="00571C7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71C7E"/>
    <w:rPr>
      <w:color w:val="0033CC"/>
      <w:u w:val="none"/>
    </w:rPr>
  </w:style>
  <w:style w:type="paragraph" w:customStyle="1" w:styleId="BodyTextRight">
    <w:name w:val="Body Text Right"/>
    <w:basedOn w:val="BodyText"/>
    <w:rsid w:val="00571C7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71C7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71C7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71C7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71C7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71C7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71C7E"/>
    <w:rPr>
      <w:sz w:val="32"/>
    </w:rPr>
  </w:style>
  <w:style w:type="paragraph" w:customStyle="1" w:styleId="HeadingProcedure">
    <w:name w:val="Heading Procedure"/>
    <w:basedOn w:val="HeadingBase"/>
    <w:next w:val="Normal"/>
    <w:rsid w:val="00571C7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71C7E"/>
    <w:pPr>
      <w:spacing w:before="60" w:after="60"/>
    </w:pPr>
  </w:style>
  <w:style w:type="paragraph" w:styleId="ListContinue">
    <w:name w:val="List Continue"/>
    <w:basedOn w:val="List"/>
    <w:rsid w:val="00571C7E"/>
    <w:pPr>
      <w:ind w:firstLine="0"/>
    </w:pPr>
  </w:style>
  <w:style w:type="paragraph" w:customStyle="1" w:styleId="ListNote">
    <w:name w:val="List Note"/>
    <w:basedOn w:val="List"/>
    <w:rsid w:val="00571C7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71C7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71C7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71C7E"/>
    <w:rPr>
      <w:rFonts w:ascii="Courier New" w:hAnsi="Courier New"/>
    </w:rPr>
  </w:style>
  <w:style w:type="paragraph" w:customStyle="1" w:styleId="NoteBullet">
    <w:name w:val="Note Bullet"/>
    <w:basedOn w:val="Note"/>
    <w:rsid w:val="00571C7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71C7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71C7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71C7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71C7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71C7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71C7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71C7E"/>
    <w:rPr>
      <w:b/>
      <w:smallCaps/>
    </w:rPr>
  </w:style>
  <w:style w:type="paragraph" w:customStyle="1" w:styleId="TableListNumber">
    <w:name w:val="Table List Number"/>
    <w:basedOn w:val="ListNumber"/>
    <w:rsid w:val="00571C7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71C7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71C7E"/>
    <w:pPr>
      <w:numPr>
        <w:numId w:val="7"/>
      </w:numPr>
    </w:pPr>
  </w:style>
  <w:style w:type="paragraph" w:customStyle="1" w:styleId="ListAlpha2">
    <w:name w:val="List Alpha 2"/>
    <w:basedOn w:val="List2"/>
    <w:rsid w:val="00571C7E"/>
    <w:pPr>
      <w:numPr>
        <w:numId w:val="6"/>
      </w:numPr>
    </w:pPr>
  </w:style>
  <w:style w:type="paragraph" w:styleId="List2">
    <w:name w:val="List 2"/>
    <w:basedOn w:val="BodyText"/>
    <w:rsid w:val="00571C7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71C7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71C7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71C7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71C7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71C7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71C7E"/>
    <w:pPr>
      <w:numPr>
        <w:numId w:val="2"/>
      </w:numPr>
    </w:pPr>
  </w:style>
  <w:style w:type="paragraph" w:styleId="ListContinue2">
    <w:name w:val="List Continue 2"/>
    <w:basedOn w:val="List2"/>
    <w:rsid w:val="00571C7E"/>
    <w:pPr>
      <w:ind w:firstLine="0"/>
    </w:pPr>
  </w:style>
  <w:style w:type="paragraph" w:styleId="ListContinue3">
    <w:name w:val="List Continue 3"/>
    <w:basedOn w:val="List3"/>
    <w:rsid w:val="00571C7E"/>
    <w:pPr>
      <w:ind w:left="1021" w:firstLine="0"/>
    </w:pPr>
  </w:style>
  <w:style w:type="paragraph" w:styleId="ListContinue4">
    <w:name w:val="List Continue 4"/>
    <w:basedOn w:val="List4"/>
    <w:rsid w:val="00571C7E"/>
    <w:pPr>
      <w:ind w:firstLine="0"/>
    </w:pPr>
  </w:style>
  <w:style w:type="paragraph" w:styleId="ListContinue5">
    <w:name w:val="List Continue 5"/>
    <w:basedOn w:val="List5"/>
    <w:rsid w:val="00571C7E"/>
    <w:pPr>
      <w:ind w:firstLine="0"/>
    </w:pPr>
  </w:style>
  <w:style w:type="paragraph" w:styleId="ListNumber3">
    <w:name w:val="List Number 3"/>
    <w:basedOn w:val="List3"/>
    <w:rsid w:val="00571C7E"/>
    <w:pPr>
      <w:numPr>
        <w:numId w:val="3"/>
      </w:numPr>
    </w:pPr>
  </w:style>
  <w:style w:type="paragraph" w:styleId="ListNumber4">
    <w:name w:val="List Number 4"/>
    <w:basedOn w:val="List4"/>
    <w:rsid w:val="00571C7E"/>
    <w:pPr>
      <w:numPr>
        <w:numId w:val="4"/>
      </w:numPr>
    </w:pPr>
  </w:style>
  <w:style w:type="paragraph" w:styleId="ListNumber5">
    <w:name w:val="List Number 5"/>
    <w:basedOn w:val="List5"/>
    <w:rsid w:val="00571C7E"/>
    <w:pPr>
      <w:numPr>
        <w:numId w:val="5"/>
      </w:numPr>
    </w:pPr>
  </w:style>
  <w:style w:type="paragraph" w:styleId="BlockText">
    <w:name w:val="Block Text"/>
    <w:basedOn w:val="Normal"/>
    <w:rsid w:val="00571C7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71C7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71C7E"/>
    <w:rPr>
      <w:sz w:val="16"/>
      <w:vertAlign w:val="superscript"/>
    </w:rPr>
  </w:style>
  <w:style w:type="character" w:customStyle="1" w:styleId="Symbols">
    <w:name w:val="Symbols"/>
    <w:basedOn w:val="DefaultParagraphFont"/>
    <w:rsid w:val="00571C7E"/>
    <w:rPr>
      <w:rFonts w:ascii="Symbol" w:hAnsi="Symbol"/>
    </w:rPr>
  </w:style>
  <w:style w:type="character" w:customStyle="1" w:styleId="MenuOptions">
    <w:name w:val="Menu Options"/>
    <w:basedOn w:val="DefaultParagraphFont"/>
    <w:rsid w:val="00571C7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71C7E"/>
    <w:rPr>
      <w:b/>
    </w:rPr>
  </w:style>
  <w:style w:type="character" w:customStyle="1" w:styleId="Underlined">
    <w:name w:val="Underlined"/>
    <w:basedOn w:val="DefaultParagraphFont"/>
    <w:rsid w:val="00571C7E"/>
    <w:rPr>
      <w:u w:val="single"/>
    </w:rPr>
  </w:style>
  <w:style w:type="paragraph" w:customStyle="1" w:styleId="TableBodyTextRight">
    <w:name w:val="Table Body Text Right"/>
    <w:basedOn w:val="TableBodyText"/>
    <w:rsid w:val="00571C7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71C7E"/>
    <w:rPr>
      <w:sz w:val="18"/>
    </w:rPr>
  </w:style>
  <w:style w:type="paragraph" w:customStyle="1" w:styleId="BodySmallRight">
    <w:name w:val="Body Small Right"/>
    <w:basedOn w:val="BodyTextRight"/>
    <w:rsid w:val="00571C7E"/>
    <w:rPr>
      <w:sz w:val="18"/>
      <w:szCs w:val="18"/>
    </w:rPr>
  </w:style>
  <w:style w:type="paragraph" w:customStyle="1" w:styleId="MarginEdition">
    <w:name w:val="Margin Edition"/>
    <w:basedOn w:val="MarginNote"/>
    <w:rsid w:val="00571C7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71C7E"/>
    <w:rPr>
      <w:sz w:val="2"/>
      <w:szCs w:val="2"/>
    </w:rPr>
  </w:style>
  <w:style w:type="character" w:customStyle="1" w:styleId="Small">
    <w:name w:val="Small"/>
    <w:basedOn w:val="DefaultParagraphFont"/>
    <w:rsid w:val="00571C7E"/>
    <w:rPr>
      <w:sz w:val="16"/>
    </w:rPr>
  </w:style>
  <w:style w:type="paragraph" w:customStyle="1" w:styleId="WideTable">
    <w:name w:val="Wide Table"/>
    <w:basedOn w:val="Normal"/>
    <w:rsid w:val="00571C7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71C7E"/>
  </w:style>
  <w:style w:type="paragraph" w:styleId="Quote">
    <w:name w:val="Quote"/>
    <w:basedOn w:val="Heading1"/>
    <w:link w:val="QuoteChar"/>
    <w:qFormat/>
    <w:rsid w:val="00571C7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71C7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71C7E"/>
    <w:pPr>
      <w:pageBreakBefore/>
    </w:pPr>
  </w:style>
  <w:style w:type="paragraph" w:customStyle="1" w:styleId="Border">
    <w:name w:val="Border"/>
    <w:basedOn w:val="Normal"/>
    <w:qFormat/>
    <w:rsid w:val="00571C7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71C7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1C7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1C7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71C7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71C7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71C7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71C7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71C7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71C7E"/>
    <w:rPr>
      <w:u w:val="single"/>
    </w:rPr>
  </w:style>
  <w:style w:type="character" w:customStyle="1" w:styleId="BoldandItalics">
    <w:name w:val="Bold and Italics"/>
    <w:qFormat/>
    <w:rsid w:val="00571C7E"/>
    <w:rPr>
      <w:b/>
      <w:i/>
      <w:u w:val="none"/>
    </w:rPr>
  </w:style>
  <w:style w:type="paragraph" w:styleId="BalloonText">
    <w:name w:val="Balloon Text"/>
    <w:basedOn w:val="Normal"/>
    <w:link w:val="BalloonTextChar"/>
    <w:rsid w:val="00571C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71C7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71C7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71C7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71C7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71C7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71C7E"/>
    <w:pPr>
      <w:spacing w:before="0" w:after="0"/>
    </w:pPr>
  </w:style>
  <w:style w:type="paragraph" w:customStyle="1" w:styleId="BodyTextBold">
    <w:name w:val="Body Text Bold"/>
    <w:basedOn w:val="BodyText"/>
    <w:qFormat/>
    <w:rsid w:val="00571C7E"/>
    <w:rPr>
      <w:b/>
    </w:rPr>
  </w:style>
  <w:style w:type="character" w:styleId="Hyperlink">
    <w:name w:val="Hyperlink"/>
    <w:basedOn w:val="DefaultParagraphFont"/>
    <w:uiPriority w:val="99"/>
    <w:unhideWhenUsed/>
    <w:rsid w:val="00306CA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498</Words>
  <Characters>3258</Characters>
  <Application>Microsoft Office Word</Application>
  <DocSecurity>0</DocSecurity>
  <Lines>135</Lines>
  <Paragraphs>78</Paragraphs>
  <ScaleCrop>false</ScaleCrop>
  <Company>Author-it Software Corporation Ltd.</Company>
  <LinksUpToDate>false</LinksUpToDate>
  <CharactersWithSpaces>3678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DEFSIM020 Conduct simulator performance evaluation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2024-11-07T12:32:00Z</dcterms:created>
  <dcterms:modified xsi:type="dcterms:W3CDTF">2024-11-07T12:32:00Z</dcterms:modified>
</cp:coreProperties>
</file>